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105C99">
        <w:rPr>
          <w:rFonts w:asciiTheme="majorHAnsi" w:hAnsiTheme="majorHAnsi" w:cstheme="majorHAnsi"/>
          <w:b/>
        </w:rPr>
        <w:t>2</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105C99" w:rsidRPr="00105C99">
        <w:rPr>
          <w:rFonts w:asciiTheme="majorHAnsi" w:hAnsiTheme="majorHAnsi" w:cstheme="majorHAnsi"/>
          <w:b/>
        </w:rPr>
        <w:t>R1-1802250</w:t>
      </w:r>
    </w:p>
    <w:p w:rsidR="00CF7042" w:rsidRPr="00A81622" w:rsidRDefault="00105C99" w:rsidP="00CF7042">
      <w:pPr>
        <w:rPr>
          <w:rFonts w:asciiTheme="majorHAnsi" w:eastAsia="MS Mincho" w:hAnsiTheme="majorHAnsi" w:cstheme="majorHAnsi"/>
          <w:b/>
          <w:bCs/>
          <w:sz w:val="28"/>
        </w:rPr>
      </w:pPr>
      <w:r w:rsidRPr="00105C99">
        <w:rPr>
          <w:rFonts w:asciiTheme="majorHAnsi" w:hAnsiTheme="majorHAnsi" w:cstheme="majorHAnsi"/>
          <w:b/>
        </w:rPr>
        <w:t>Athens, Greece, February 26th – March 2nd, 2018</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Low PAPR SFBC for V2X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2A271E">
        <w:rPr>
          <w:rFonts w:asciiTheme="majorHAnsi" w:eastAsia="MS Gothic" w:hAnsiTheme="majorHAnsi" w:cstheme="majorHAnsi"/>
          <w:noProof w:val="0"/>
          <w:sz w:val="24"/>
        </w:rPr>
        <w:t>2.3.3.1 Transmit diversity solutions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5C45D1" w:rsidRDefault="005C45D1" w:rsidP="00145316">
      <w:pPr>
        <w:rPr>
          <w:rFonts w:eastAsia="MS Mincho"/>
          <w:iCs/>
          <w:szCs w:val="20"/>
        </w:rPr>
      </w:pPr>
      <w:r>
        <w:rPr>
          <w:rFonts w:eastAsia="MS Mincho"/>
          <w:iCs/>
          <w:szCs w:val="20"/>
        </w:rPr>
        <w:t xml:space="preserve">In the latest RAN1#91 </w:t>
      </w:r>
      <w:r>
        <w:rPr>
          <w:rFonts w:eastAsia="MS Mincho"/>
          <w:iCs/>
          <w:szCs w:val="20"/>
        </w:rPr>
        <w:fldChar w:fldCharType="begin"/>
      </w:r>
      <w:r>
        <w:rPr>
          <w:rFonts w:eastAsia="MS Mincho"/>
          <w:iCs/>
          <w:szCs w:val="20"/>
        </w:rPr>
        <w:instrText xml:space="preserve"> REF _Ref506373676 \r \h </w:instrText>
      </w:r>
      <w:r>
        <w:rPr>
          <w:rFonts w:eastAsia="MS Mincho"/>
          <w:iCs/>
          <w:szCs w:val="20"/>
        </w:rPr>
      </w:r>
      <w:r>
        <w:rPr>
          <w:rFonts w:eastAsia="MS Mincho"/>
          <w:iCs/>
          <w:szCs w:val="20"/>
        </w:rPr>
        <w:fldChar w:fldCharType="separate"/>
      </w:r>
      <w:r w:rsidR="0069002D">
        <w:rPr>
          <w:rFonts w:eastAsia="MS Mincho"/>
          <w:iCs/>
          <w:szCs w:val="20"/>
        </w:rPr>
        <w:t>[1]</w:t>
      </w:r>
      <w:r>
        <w:rPr>
          <w:rFonts w:eastAsia="MS Mincho"/>
          <w:iCs/>
          <w:szCs w:val="20"/>
        </w:rPr>
        <w:fldChar w:fldCharType="end"/>
      </w:r>
      <w:r>
        <w:rPr>
          <w:rFonts w:eastAsia="MS Mincho"/>
          <w:iCs/>
          <w:szCs w:val="20"/>
        </w:rPr>
        <w:t xml:space="preserve"> the following was decided:</w:t>
      </w:r>
    </w:p>
    <w:p w:rsidR="0069002D" w:rsidRDefault="0069002D" w:rsidP="0069002D">
      <w:pPr>
        <w:numPr>
          <w:ilvl w:val="0"/>
          <w:numId w:val="47"/>
        </w:numPr>
        <w:spacing w:after="0"/>
        <w:jc w:val="left"/>
        <w:rPr>
          <w:rFonts w:eastAsia="Yu Mincho"/>
          <w:sz w:val="20"/>
          <w:szCs w:val="20"/>
        </w:rPr>
      </w:pPr>
      <w:r>
        <w:rPr>
          <w:rFonts w:eastAsia="Yu Mincho"/>
          <w:szCs w:val="20"/>
        </w:rPr>
        <w:t xml:space="preserve">Assuming the previous WA of introducing non-transparent transmit diversity is confirmed, for two-port non-transparent transmit diversity for PSSCH, downselect option 1 as WA among the following candidate schemes </w:t>
      </w:r>
    </w:p>
    <w:p w:rsidR="0069002D" w:rsidRDefault="0069002D" w:rsidP="0069002D">
      <w:pPr>
        <w:numPr>
          <w:ilvl w:val="1"/>
          <w:numId w:val="47"/>
        </w:numPr>
        <w:spacing w:after="0"/>
        <w:jc w:val="left"/>
        <w:rPr>
          <w:rFonts w:eastAsia="Yu Mincho"/>
          <w:szCs w:val="20"/>
        </w:rPr>
      </w:pPr>
      <w:r>
        <w:rPr>
          <w:rFonts w:eastAsia="Yu Mincho"/>
          <w:szCs w:val="20"/>
          <w:highlight w:val="darkYellow"/>
        </w:rPr>
        <w:t>Working assumption:</w:t>
      </w:r>
      <w:r>
        <w:rPr>
          <w:rFonts w:eastAsia="Yu Mincho"/>
          <w:szCs w:val="20"/>
        </w:rPr>
        <w:t xml:space="preserve"> Option 1: SFBC-based scheme (including PAPR preserving)</w:t>
      </w:r>
    </w:p>
    <w:p w:rsidR="0069002D" w:rsidRDefault="0069002D" w:rsidP="0069002D">
      <w:pPr>
        <w:numPr>
          <w:ilvl w:val="2"/>
          <w:numId w:val="47"/>
        </w:numPr>
        <w:spacing w:after="0"/>
        <w:jc w:val="left"/>
        <w:rPr>
          <w:rFonts w:eastAsia="Yu Mincho"/>
          <w:szCs w:val="20"/>
        </w:rPr>
      </w:pPr>
      <w:r>
        <w:rPr>
          <w:rFonts w:eastAsia="Yu Mincho"/>
          <w:szCs w:val="20"/>
        </w:rPr>
        <w:t xml:space="preserve">FFS whether to apply slot-level PVS </w:t>
      </w:r>
    </w:p>
    <w:p w:rsidR="0069002D" w:rsidRDefault="0069002D" w:rsidP="0069002D">
      <w:pPr>
        <w:numPr>
          <w:ilvl w:val="1"/>
          <w:numId w:val="47"/>
        </w:numPr>
        <w:spacing w:after="0"/>
        <w:jc w:val="left"/>
        <w:rPr>
          <w:rFonts w:eastAsia="Yu Mincho"/>
          <w:szCs w:val="20"/>
        </w:rPr>
      </w:pPr>
      <w:r>
        <w:rPr>
          <w:rFonts w:eastAsia="Yu Mincho"/>
          <w:szCs w:val="20"/>
        </w:rPr>
        <w:t>Option 2: STBC-based (including half symbol)</w:t>
      </w:r>
    </w:p>
    <w:p w:rsidR="0069002D" w:rsidRDefault="0069002D" w:rsidP="0069002D">
      <w:pPr>
        <w:rPr>
          <w:rFonts w:eastAsia="Yu Mincho"/>
          <w:szCs w:val="20"/>
          <w:lang w:val="en-GB"/>
        </w:rPr>
      </w:pPr>
      <w:r>
        <w:rPr>
          <w:rFonts w:eastAsia="Yu Mincho"/>
          <w:szCs w:val="20"/>
        </w:rPr>
        <w:t>Note: Companies are encouraged to perform evaluations for the above options</w:t>
      </w:r>
    </w:p>
    <w:p w:rsidR="005C45D1" w:rsidRPr="0069002D" w:rsidRDefault="005C45D1" w:rsidP="00145316">
      <w:pPr>
        <w:rPr>
          <w:rFonts w:eastAsia="MS Mincho"/>
          <w:iCs/>
          <w:szCs w:val="20"/>
          <w:lang w:val="en-GB"/>
        </w:rPr>
      </w:pPr>
    </w:p>
    <w:p w:rsidR="00BB7983" w:rsidRDefault="00145316" w:rsidP="00145316">
      <w:pPr>
        <w:rPr>
          <w:rFonts w:eastAsia="MS Mincho"/>
          <w:iCs/>
          <w:szCs w:val="20"/>
        </w:rPr>
      </w:pPr>
      <w:r w:rsidRPr="00145316">
        <w:rPr>
          <w:rFonts w:eastAsia="MS Mincho"/>
          <w:iCs/>
          <w:szCs w:val="20"/>
        </w:rPr>
        <w:t>In RAN1#90</w:t>
      </w:r>
      <w:r w:rsidR="00BB7983">
        <w:rPr>
          <w:rFonts w:eastAsia="MS Mincho"/>
          <w:iCs/>
          <w:szCs w:val="20"/>
        </w:rPr>
        <w:t>b</w:t>
      </w:r>
      <w:r w:rsidR="005C45D1">
        <w:rPr>
          <w:rFonts w:eastAsia="MS Mincho"/>
          <w:iCs/>
          <w:szCs w:val="20"/>
        </w:rPr>
        <w:t xml:space="preserve"> </w:t>
      </w:r>
      <w:r w:rsidR="005C45D1">
        <w:rPr>
          <w:rFonts w:eastAsia="MS Mincho"/>
          <w:iCs/>
          <w:szCs w:val="20"/>
        </w:rPr>
        <w:fldChar w:fldCharType="begin"/>
      </w:r>
      <w:r w:rsidR="005C45D1">
        <w:rPr>
          <w:rFonts w:eastAsia="MS Mincho"/>
          <w:iCs/>
          <w:szCs w:val="20"/>
        </w:rPr>
        <w:instrText xml:space="preserve"> REF _Ref506373666 \r \h </w:instrText>
      </w:r>
      <w:r w:rsidR="005C45D1">
        <w:rPr>
          <w:rFonts w:eastAsia="MS Mincho"/>
          <w:iCs/>
          <w:szCs w:val="20"/>
        </w:rPr>
      </w:r>
      <w:r w:rsidR="005C45D1">
        <w:rPr>
          <w:rFonts w:eastAsia="MS Mincho"/>
          <w:iCs/>
          <w:szCs w:val="20"/>
        </w:rPr>
        <w:fldChar w:fldCharType="separate"/>
      </w:r>
      <w:r w:rsidR="0069002D">
        <w:rPr>
          <w:rFonts w:eastAsia="MS Mincho"/>
          <w:iCs/>
          <w:szCs w:val="20"/>
        </w:rPr>
        <w:t>[2]</w:t>
      </w:r>
      <w:r w:rsidR="005C45D1">
        <w:rPr>
          <w:rFonts w:eastAsia="MS Mincho"/>
          <w:iCs/>
          <w:szCs w:val="20"/>
        </w:rPr>
        <w:fldChar w:fldCharType="end"/>
      </w:r>
      <w:r w:rsidR="000E0029">
        <w:rPr>
          <w:rFonts w:eastAsia="MS Mincho"/>
          <w:iCs/>
          <w:szCs w:val="20"/>
        </w:rPr>
        <w:t>, it was decided that</w:t>
      </w:r>
    </w:p>
    <w:p w:rsidR="000E0029" w:rsidRPr="000E0029" w:rsidRDefault="000E0029" w:rsidP="000E0029">
      <w:pPr>
        <w:numPr>
          <w:ilvl w:val="0"/>
          <w:numId w:val="46"/>
        </w:numPr>
        <w:spacing w:after="0"/>
        <w:jc w:val="left"/>
        <w:rPr>
          <w:i/>
        </w:rPr>
      </w:pPr>
      <w:r w:rsidRPr="000E0029">
        <w:rPr>
          <w:i/>
        </w:rPr>
        <w:t>For PSCCH, small delay CDD can be used on PSCCH</w:t>
      </w:r>
    </w:p>
    <w:p w:rsidR="000E0029" w:rsidRPr="000E0029" w:rsidRDefault="000E0029" w:rsidP="000E0029">
      <w:pPr>
        <w:numPr>
          <w:ilvl w:val="1"/>
          <w:numId w:val="46"/>
        </w:numPr>
        <w:spacing w:after="0"/>
        <w:jc w:val="left"/>
        <w:rPr>
          <w:i/>
        </w:rPr>
      </w:pPr>
      <w:r w:rsidRPr="000E0029">
        <w:rPr>
          <w:i/>
        </w:rPr>
        <w:t>FFS whether the cyclic delay value is specified or left for UE implementation</w:t>
      </w:r>
    </w:p>
    <w:p w:rsidR="000E0029" w:rsidRDefault="000E0029" w:rsidP="00145316">
      <w:pPr>
        <w:rPr>
          <w:rFonts w:eastAsia="MS Mincho"/>
          <w:iCs/>
          <w:szCs w:val="20"/>
        </w:rPr>
      </w:pPr>
    </w:p>
    <w:p w:rsidR="0051424C" w:rsidRDefault="0069002D" w:rsidP="00145316">
      <w:pPr>
        <w:rPr>
          <w:rFonts w:eastAsia="MS Mincho"/>
          <w:iCs/>
          <w:szCs w:val="20"/>
        </w:rPr>
      </w:pPr>
      <w:r>
        <w:rPr>
          <w:rFonts w:eastAsia="MS Mincho"/>
          <w:iCs/>
          <w:szCs w:val="20"/>
        </w:rPr>
        <w:t>T</w:t>
      </w:r>
      <w:r w:rsidR="000E0029">
        <w:rPr>
          <w:rFonts w:eastAsia="MS Mincho"/>
          <w:iCs/>
          <w:szCs w:val="20"/>
        </w:rPr>
        <w:t xml:space="preserve">he following </w:t>
      </w:r>
      <w:r w:rsidR="000E0029" w:rsidRPr="0069002D">
        <w:rPr>
          <w:rFonts w:eastAsia="MS Mincho"/>
          <w:iCs/>
          <w:szCs w:val="20"/>
          <w:highlight w:val="darkYellow"/>
        </w:rPr>
        <w:t>working assumption</w:t>
      </w:r>
      <w:r w:rsidR="000E0029">
        <w:rPr>
          <w:rFonts w:eastAsia="MS Mincho"/>
          <w:iCs/>
          <w:szCs w:val="20"/>
        </w:rPr>
        <w:t xml:space="preserve"> reached in RAN1#90 </w:t>
      </w:r>
      <w:r w:rsidR="00145316">
        <w:rPr>
          <w:rFonts w:eastAsia="MS Mincho"/>
          <w:iCs/>
          <w:szCs w:val="20"/>
        </w:rPr>
        <w:t xml:space="preserve">meeting </w:t>
      </w:r>
      <w:r w:rsidR="000E0029">
        <w:rPr>
          <w:rFonts w:eastAsia="MS Mincho"/>
          <w:iCs/>
          <w:szCs w:val="20"/>
        </w:rPr>
        <w:fldChar w:fldCharType="begin"/>
      </w:r>
      <w:r w:rsidR="000E0029">
        <w:rPr>
          <w:rFonts w:eastAsia="MS Mincho"/>
          <w:iCs/>
          <w:szCs w:val="20"/>
        </w:rPr>
        <w:instrText xml:space="preserve"> REF _Ref498549160 \r \h </w:instrText>
      </w:r>
      <w:r w:rsidR="000E0029">
        <w:rPr>
          <w:rFonts w:eastAsia="MS Mincho"/>
          <w:iCs/>
          <w:szCs w:val="20"/>
        </w:rPr>
      </w:r>
      <w:r w:rsidR="000E0029">
        <w:rPr>
          <w:rFonts w:eastAsia="MS Mincho"/>
          <w:iCs/>
          <w:szCs w:val="20"/>
        </w:rPr>
        <w:fldChar w:fldCharType="separate"/>
      </w:r>
      <w:r>
        <w:rPr>
          <w:rFonts w:eastAsia="MS Mincho"/>
          <w:iCs/>
          <w:szCs w:val="20"/>
        </w:rPr>
        <w:t>[3]</w:t>
      </w:r>
      <w:r w:rsidR="000E0029">
        <w:rPr>
          <w:rFonts w:eastAsia="MS Mincho"/>
          <w:iCs/>
          <w:szCs w:val="20"/>
        </w:rPr>
        <w:fldChar w:fldCharType="end"/>
      </w:r>
      <w:r w:rsidR="00E74B84">
        <w:rPr>
          <w:rFonts w:eastAsia="MS Mincho"/>
          <w:iCs/>
          <w:szCs w:val="20"/>
        </w:rPr>
        <w:t xml:space="preserve"> </w:t>
      </w:r>
      <w:r w:rsidR="000E0029">
        <w:rPr>
          <w:rFonts w:eastAsia="MS Mincho"/>
          <w:iCs/>
          <w:szCs w:val="20"/>
        </w:rPr>
        <w:t>still stands</w:t>
      </w:r>
      <w:r w:rsidR="00E74B84">
        <w:rPr>
          <w:rFonts w:eastAsia="MS Mincho"/>
          <w:iCs/>
          <w:szCs w:val="20"/>
        </w:rPr>
        <w:t>:</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MPR for Rel-15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communicating with Rel-14 UEs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F3534C" w:rsidRPr="0073662B" w:rsidRDefault="00F3534C" w:rsidP="00A30BCD"/>
    <w:p w:rsidR="00D528CE" w:rsidRDefault="00CC2771" w:rsidP="0051424C">
      <w:r>
        <w:t>W</w:t>
      </w:r>
      <w:r w:rsidR="002B4B53" w:rsidRPr="0073662B">
        <w:t xml:space="preserve">hen applying transmit diversity techniques to DFTsOFDM, special care must be taken for preserving the low PAPR characteristics of this waveform. </w:t>
      </w:r>
      <w:r w:rsidR="00D528CE">
        <w:t>Note that similar discussions took place in the past meetings for both PUSCH and PUCCH transmit diversity f</w:t>
      </w:r>
      <w:r w:rsidR="00D710F7">
        <w:t xml:space="preserve">or NR, where similar candidate schemes were extensively evaluated </w:t>
      </w:r>
      <w:r w:rsidR="00C31C7B">
        <w:fldChar w:fldCharType="begin"/>
      </w:r>
      <w:r w:rsidR="00C31C7B">
        <w:instrText xml:space="preserve"> REF _Ref494384543 \r \h </w:instrText>
      </w:r>
      <w:r w:rsidR="00C31C7B">
        <w:fldChar w:fldCharType="separate"/>
      </w:r>
      <w:r w:rsidR="0069002D">
        <w:t>[4]</w:t>
      </w:r>
      <w:r w:rsidR="00C31C7B">
        <w:fldChar w:fldCharType="end"/>
      </w:r>
      <w:r w:rsidR="00C31C7B">
        <w:fldChar w:fldCharType="begin"/>
      </w:r>
      <w:r w:rsidR="00C31C7B">
        <w:instrText xml:space="preserve"> REF _Ref494384545 \r \h </w:instrText>
      </w:r>
      <w:r w:rsidR="00C31C7B">
        <w:fldChar w:fldCharType="separate"/>
      </w:r>
      <w:r w:rsidR="0069002D">
        <w:t>[5]</w:t>
      </w:r>
      <w:r w:rsidR="00C31C7B">
        <w:fldChar w:fldCharType="end"/>
      </w:r>
      <w:r w:rsidR="00C31C7B">
        <w:fldChar w:fldCharType="begin"/>
      </w:r>
      <w:r w:rsidR="00C31C7B">
        <w:instrText xml:space="preserve"> REF _Ref494384547 \r \h </w:instrText>
      </w:r>
      <w:r w:rsidR="00C31C7B">
        <w:fldChar w:fldCharType="separate"/>
      </w:r>
      <w:r w:rsidR="0069002D">
        <w:t>[6]</w:t>
      </w:r>
      <w:r w:rsidR="00C31C7B">
        <w:fldChar w:fldCharType="end"/>
      </w:r>
      <w:r w:rsidR="00C31C7B">
        <w:fldChar w:fldCharType="begin"/>
      </w:r>
      <w:r w:rsidR="00C31C7B">
        <w:instrText xml:space="preserve"> REF _Ref494384549 \r \h </w:instrText>
      </w:r>
      <w:r w:rsidR="00C31C7B">
        <w:fldChar w:fldCharType="separate"/>
      </w:r>
      <w:r w:rsidR="0069002D">
        <w:t>[7]</w:t>
      </w:r>
      <w:r w:rsidR="00C31C7B">
        <w:fldChar w:fldCharType="end"/>
      </w:r>
      <w:r w:rsidR="00C31C7B">
        <w:t xml:space="preserve">, and where the discussion on transmit diversity </w:t>
      </w:r>
      <w:r w:rsidR="003F487B">
        <w:t>is postponed until after the critical corrections for the</w:t>
      </w:r>
      <w:r w:rsidR="00C31C7B">
        <w:t xml:space="preserve"> early-drop NR specifications </w:t>
      </w:r>
      <w:r w:rsidR="003F487B">
        <w:t>are made</w:t>
      </w:r>
      <w:r w:rsidR="00D710F7">
        <w:t>.</w:t>
      </w:r>
    </w:p>
    <w:p w:rsidR="00DA2C74" w:rsidRPr="0051424C" w:rsidRDefault="002B4B53" w:rsidP="0051424C">
      <w:r w:rsidRPr="0073662B">
        <w:lastRenderedPageBreak/>
        <w:t xml:space="preserve">In this contribution, we show how PAPR preserving </w:t>
      </w:r>
      <w:r w:rsidR="00C31C7B">
        <w:t xml:space="preserve">SFBC </w:t>
      </w:r>
      <w:r w:rsidRPr="0073662B">
        <w:t xml:space="preserve">transmit diversity </w:t>
      </w:r>
      <w:r w:rsidR="00C31C7B">
        <w:t xml:space="preserve">(SC-SFBC) </w:t>
      </w:r>
      <w:r w:rsidRPr="0073662B">
        <w:t>can be achieved for DFTsOFDM.</w:t>
      </w:r>
      <w:r w:rsidR="00C31C7B">
        <w:t xml:space="preserve"> Simulation results are provided in the companion contribution </w:t>
      </w:r>
      <w:r w:rsidR="00A73861">
        <w:fldChar w:fldCharType="begin"/>
      </w:r>
      <w:r w:rsidR="00A73861">
        <w:instrText xml:space="preserve"> REF _Ref494386233 \r \h </w:instrText>
      </w:r>
      <w:r w:rsidR="00A73861">
        <w:fldChar w:fldCharType="separate"/>
      </w:r>
      <w:r w:rsidR="0069002D">
        <w:t>[8]</w:t>
      </w:r>
      <w:r w:rsidR="00A73861">
        <w:fldChar w:fldCharType="end"/>
      </w:r>
      <w:r w:rsidR="00C31C7B">
        <w:t>.</w:t>
      </w:r>
      <w:r w:rsidR="000E0029">
        <w:t xml:space="preserve"> This contribution is revised from </w:t>
      </w:r>
      <w:r w:rsidR="00105C99" w:rsidRPr="00105C99">
        <w:t>R1-1720147</w:t>
      </w:r>
      <w:r w:rsidR="00AC1F37">
        <w:t xml:space="preserve">, with added content and </w:t>
      </w:r>
      <w:r w:rsidR="00C46AA5">
        <w:t>updated</w:t>
      </w:r>
      <w:r w:rsidR="00AC1F37">
        <w:t xml:space="preserve"> observations</w:t>
      </w:r>
      <w:r w:rsidR="000E0029">
        <w:t>.</w:t>
      </w:r>
    </w:p>
    <w:p w:rsidR="00A81622" w:rsidRPr="0073662B" w:rsidRDefault="00A81622" w:rsidP="00A81622">
      <w:pPr>
        <w:pBdr>
          <w:bottom w:val="single" w:sz="12" w:space="1" w:color="auto"/>
        </w:pBdr>
      </w:pPr>
    </w:p>
    <w:p w:rsidR="00EA0674" w:rsidRPr="0073662B" w:rsidRDefault="00A73861" w:rsidP="00A81622">
      <w:pPr>
        <w:pStyle w:val="Titre1"/>
      </w:pPr>
      <w:r>
        <w:t xml:space="preserve">Discussion on </w:t>
      </w:r>
      <w:r w:rsidR="00F66680" w:rsidRPr="0073662B">
        <w:t>diversity-based transmission for</w:t>
      </w:r>
      <w:r w:rsidR="002B4B53" w:rsidRPr="0073662B">
        <w:t xml:space="preserve"> DFTsOFDM</w:t>
      </w:r>
    </w:p>
    <w:p w:rsidR="00AB53DB" w:rsidRDefault="00BD3F81" w:rsidP="00A81622">
      <w:r>
        <w:t>In the contribution we</w:t>
      </w:r>
      <w:r w:rsidR="00A44684" w:rsidRPr="0073662B">
        <w:t xml:space="preserve"> investigate the following candidate techniques: </w:t>
      </w:r>
      <w:r w:rsidR="00A73861">
        <w:t xml:space="preserve">PAPR preserving SC-SFBC, other </w:t>
      </w:r>
      <w:r w:rsidR="00A44684" w:rsidRPr="0073662B">
        <w:t>A</w:t>
      </w:r>
      <w:r w:rsidR="00A73861">
        <w:t>lamouti-based transmit diversity schemes</w:t>
      </w:r>
      <w:r w:rsidR="00A44684" w:rsidRPr="0073662B">
        <w:t xml:space="preserve">, short delay CDD, </w:t>
      </w:r>
      <w:r>
        <w:t xml:space="preserve">and different types of </w:t>
      </w:r>
      <w:r w:rsidR="00A73861">
        <w:t>precoder vector switching in the time domain.</w:t>
      </w:r>
      <w:r w:rsidR="00A44684" w:rsidRPr="0073662B">
        <w:t xml:space="preserve"> </w:t>
      </w:r>
    </w:p>
    <w:p w:rsidR="003B78F4" w:rsidRPr="0073662B" w:rsidRDefault="003B78F4" w:rsidP="00A81622"/>
    <w:p w:rsidR="00965FE1" w:rsidRPr="0073662B" w:rsidRDefault="00965FE1" w:rsidP="003B78F4">
      <w:pPr>
        <w:pStyle w:val="Titre2"/>
      </w:pPr>
      <w:r w:rsidRPr="0073662B">
        <w:t>PAPR preserving SFBC</w:t>
      </w:r>
      <w:r w:rsidR="00C047F9">
        <w:t xml:space="preserve"> (SC-SFBC)</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69002D">
        <w:t>[10]</w:t>
      </w:r>
      <w:r w:rsidR="005D3AA1">
        <w:fldChar w:fldCharType="end"/>
      </w:r>
      <w:r w:rsidR="00CC2771">
        <w:t xml:space="preserve"> and thoroughly </w:t>
      </w:r>
      <w:r w:rsidR="00A73861">
        <w:t xml:space="preserve">discussed in NR sessions </w:t>
      </w:r>
      <w:r w:rsidR="00A73861">
        <w:fldChar w:fldCharType="begin"/>
      </w:r>
      <w:r w:rsidR="00A73861">
        <w:instrText xml:space="preserve"> REF _Ref494384543 \r \h </w:instrText>
      </w:r>
      <w:r w:rsidR="00A73861">
        <w:fldChar w:fldCharType="separate"/>
      </w:r>
      <w:r w:rsidR="0069002D">
        <w:t>[4]</w:t>
      </w:r>
      <w:r w:rsidR="00A73861">
        <w:fldChar w:fldCharType="end"/>
      </w:r>
      <w:r w:rsidRPr="00A73861">
        <w:t xml:space="preserve">. </w:t>
      </w:r>
      <w:r w:rsidRPr="003B78F4">
        <w:t>Alamouti precoding is applied at subcarrier level, after DFT precoding</w:t>
      </w:r>
      <w:r w:rsidR="00BD3F81" w:rsidRPr="003B78F4">
        <w:t xml:space="preserve">, </w:t>
      </w:r>
      <w:r w:rsidRPr="003B78F4">
        <w:t xml:space="preserve">as it can be seen in </w:t>
      </w:r>
      <w:r w:rsidR="005D3AA1">
        <w:fldChar w:fldCharType="begin"/>
      </w:r>
      <w:r w:rsidR="005D3AA1" w:rsidRPr="003B78F4">
        <w:instrText xml:space="preserve"> REF _Ref468985453 \h  \* MERGEFORMAT </w:instrText>
      </w:r>
      <w:r w:rsidR="005D3AA1">
        <w:fldChar w:fldCharType="separate"/>
      </w:r>
      <w:r w:rsidR="0069002D" w:rsidRPr="0073662B">
        <w:t xml:space="preserve">Figure </w:t>
      </w:r>
      <w:r w:rsidR="0069002D">
        <w:t>1</w:t>
      </w:r>
      <w:r w:rsidR="005D3AA1">
        <w:fldChar w:fldCharType="end"/>
      </w:r>
      <w:r w:rsidRPr="003B78F4">
        <w:t xml:space="preserve">. </w:t>
      </w:r>
      <w:r w:rsidRPr="0073662B">
        <w:t>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8" o:title=""/>
          </v:shape>
          <o:OLEObject Type="Embed" ProgID="Equation.DSMT4" ShapeID="_x0000_i1025" DrawAspect="Content" ObjectID="_1580138615" r:id="rId9"/>
        </w:object>
      </w:r>
      <w:r w:rsidR="00BD3F81" w:rsidRPr="0073662B">
        <w:t xml:space="preserve">and </w:t>
      </w:r>
      <w:r w:rsidR="00BD3F81" w:rsidRPr="0073662B">
        <w:rPr>
          <w:position w:val="-14"/>
        </w:rPr>
        <w:object w:dxaOrig="2280" w:dyaOrig="400">
          <v:shape id="_x0000_i1026" type="#_x0000_t75" style="width:114pt;height:21.75pt" o:ole="">
            <v:imagedata r:id="rId10" o:title=""/>
          </v:shape>
          <o:OLEObject Type="Embed" ProgID="Equation.DSMT4" ShapeID="_x0000_i1026" DrawAspect="Content" ObjectID="_1580138616"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69002D" w:rsidRPr="0073662B">
        <w:t xml:space="preserve">Figure </w:t>
      </w:r>
      <w:r w:rsidR="0069002D">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69002D">
        <w:t>[10]</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69002D" w:rsidRPr="0073662B">
        <w:t xml:space="preserve">Figure </w:t>
      </w:r>
      <w:r w:rsidR="0069002D">
        <w:rPr>
          <w:noProof/>
        </w:rPr>
        <w:t>6</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124438">
      <w:pPr>
        <w:pStyle w:val="Textebrut"/>
        <w:ind w:left="1440" w:firstLine="720"/>
        <w:jc w:val="right"/>
      </w:pPr>
      <w:r w:rsidRPr="0073662B">
        <w:rPr>
          <w:position w:val="-14"/>
        </w:rPr>
        <w:object w:dxaOrig="3940" w:dyaOrig="400">
          <v:shape id="_x0000_i1027" type="#_x0000_t75" style="width:195.75pt;height:21.75pt" o:ole="">
            <v:imagedata r:id="rId12" o:title=""/>
          </v:shape>
          <o:OLEObject Type="Embed" ProgID="Equation.DSMT4" ShapeID="_x0000_i1027" DrawAspect="Content" ObjectID="_1580138617" r:id="rId13"/>
        </w:object>
      </w:r>
      <w:r w:rsidR="00124438">
        <w:tab/>
      </w:r>
      <w:r w:rsidR="00124438">
        <w:tab/>
      </w:r>
      <w:r w:rsidR="00124438">
        <w:tab/>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r w:rsidR="00124438">
        <w:instrText>(</w:instrText>
      </w:r>
      <w:fldSimple w:instr=" SEQ MTEqn \c \* Arabic \* MERGEFORMAT ">
        <w:r w:rsidR="0069002D">
          <w:rPr>
            <w:noProof/>
          </w:rPr>
          <w:instrText>1</w:instrText>
        </w:r>
      </w:fldSimple>
      <w:r w:rsidR="00124438">
        <w:instrText>)</w:instrText>
      </w:r>
      <w:r w:rsidR="00124438">
        <w:fldChar w:fldCharType="end"/>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25pt;height:18.75pt" o:ole="">
            <v:imagedata r:id="rId14" o:title=""/>
          </v:shape>
          <o:OLEObject Type="Embed" ProgID="Equation.DSMT4" ShapeID="_x0000_i1028" DrawAspect="Content" ObjectID="_1580138618"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pt;height:15.75pt" o:ole="">
            <v:imagedata r:id="rId16" o:title=""/>
          </v:shape>
          <o:OLEObject Type="Embed" ProgID="Equation.DSMT4" ShapeID="_x0000_i1029" DrawAspect="Content" ObjectID="_1580138619"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5pt;height:26.25pt" o:ole="">
            <v:imagedata r:id="rId18" o:title=""/>
          </v:shape>
          <o:OLEObject Type="Embed" ProgID="Equation.DSMT4" ShapeID="_x0000_i1030" DrawAspect="Content" ObjectID="_1580138620" r:id="rId19"/>
        </w:object>
      </w:r>
      <w:r w:rsidRPr="0073662B">
        <w:t>.</w:t>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bookmarkStart w:id="0" w:name="ZEqnNum312678"/>
      <w:r w:rsidR="00124438">
        <w:instrText>(</w:instrText>
      </w:r>
      <w:fldSimple w:instr=" SEQ MTEqn \c \* Arabic \* MERGEFORMAT ">
        <w:r w:rsidR="0069002D">
          <w:rPr>
            <w:noProof/>
          </w:rPr>
          <w:instrText>2</w:instrText>
        </w:r>
      </w:fldSimple>
      <w:r w:rsidR="00124438">
        <w:instrText>)</w:instrText>
      </w:r>
      <w:bookmarkEnd w:id="0"/>
      <w:r w:rsidR="00124438">
        <w:fldChar w:fldCharType="end"/>
      </w:r>
    </w:p>
    <w:p w:rsidR="00513046" w:rsidRPr="0073662B" w:rsidRDefault="005D3AA1" w:rsidP="00513046">
      <w:r>
        <w:fldChar w:fldCharType="begin"/>
      </w:r>
      <w:r>
        <w:instrText xml:space="preserve"> REF _Ref473731266 \h  \* MERGEFORMAT </w:instrText>
      </w:r>
      <w:r>
        <w:fldChar w:fldCharType="separate"/>
      </w:r>
      <w:r w:rsidR="0069002D" w:rsidRPr="0073662B">
        <w:t xml:space="preserve">Figure </w:t>
      </w:r>
      <w:r w:rsidR="0069002D">
        <w:rPr>
          <w:noProof/>
        </w:rPr>
        <w:t>7</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69002D" w:rsidRPr="0073662B">
        <w:t xml:space="preserve">Figure </w:t>
      </w:r>
      <w:r w:rsidR="0069002D">
        <w:t>1</w:t>
      </w:r>
      <w:r>
        <w:fldChar w:fldCharType="end"/>
      </w:r>
      <w:r w:rsidR="001927A9" w:rsidRPr="0073662B">
        <w:t>/</w:t>
      </w:r>
      <w:r>
        <w:fldChar w:fldCharType="begin"/>
      </w:r>
      <w:r>
        <w:instrText xml:space="preserve"> REF _Ref473730707 \h  \* MERGEFORMAT </w:instrText>
      </w:r>
      <w:r>
        <w:fldChar w:fldCharType="separate"/>
      </w:r>
      <w:r w:rsidR="0069002D" w:rsidRPr="0073662B">
        <w:t xml:space="preserve">Figure </w:t>
      </w:r>
      <w:r w:rsidR="0069002D">
        <w:rPr>
          <w:noProof/>
        </w:rPr>
        <w:t>6</w:t>
      </w:r>
      <w:r>
        <w:fldChar w:fldCharType="end"/>
      </w:r>
      <w:r w:rsidR="001927A9" w:rsidRPr="0073662B">
        <w:t xml:space="preserve">. </w:t>
      </w:r>
    </w:p>
    <w:p w:rsidR="00CD7218" w:rsidRDefault="00CD7218" w:rsidP="00CD7218">
      <w:r w:rsidRPr="0073662B">
        <w:t>It is obvious that complex conjugation, cyclic shift or phase ramp applied in the time domain conserve the peak to average power 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fldChar w:fldCharType="begin"/>
      </w:r>
      <w:r>
        <w:instrText xml:space="preserve"> REF _Ref494387326 \h </w:instrText>
      </w:r>
      <w:r>
        <w:fldChar w:fldCharType="separate"/>
      </w:r>
      <w:r>
        <w:t xml:space="preserve">Figure </w:t>
      </w:r>
      <w:r>
        <w:rPr>
          <w:noProof/>
        </w:rPr>
        <w:t>3</w:t>
      </w:r>
      <w:r>
        <w:fldChar w:fldCharType="end"/>
      </w:r>
      <w:r>
        <w:t xml:space="preserve"> </w:t>
      </w:r>
      <w:r w:rsidRPr="0073662B">
        <w:t>where the CCDF of the instantaneous normalized power is plotted for DFTsOFDM with STBC, SFBC and the PAPR preserving SC-SFBC.</w:t>
      </w:r>
    </w:p>
    <w:p w:rsidR="00CD7218" w:rsidRPr="00BD3F81" w:rsidRDefault="00CD7218" w:rsidP="00CD7218">
      <w:r>
        <w:t xml:space="preserve">At the receiver side, SC-SFBC detection is completely equivalent to SFBC detection: only the subcarrier mapping is changed. Precoding onto non-adjacent subcarriers may cause some interference only for large allocated bands and on highly selective channel. This interference is successfully mitigated by a MMSE receiver with low implementation complexity. </w:t>
      </w:r>
    </w:p>
    <w:p w:rsidR="0041189B" w:rsidRPr="0073662B" w:rsidRDefault="0041189B" w:rsidP="00965FE1"/>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1" w:name="_Ref468985453"/>
      <w:r w:rsidRPr="0073662B">
        <w:t xml:space="preserve">Figure </w:t>
      </w:r>
      <w:r w:rsidR="00B95E3F">
        <w:fldChar w:fldCharType="begin"/>
      </w:r>
      <w:r w:rsidR="00B95E3F">
        <w:instrText xml:space="preserve"> SEQ Figure \* ARABIC </w:instrText>
      </w:r>
      <w:r w:rsidR="00B95E3F">
        <w:fldChar w:fldCharType="separate"/>
      </w:r>
      <w:r w:rsidR="0069002D">
        <w:rPr>
          <w:noProof/>
        </w:rPr>
        <w:t>1</w:t>
      </w:r>
      <w:r w:rsidR="00B95E3F">
        <w:rPr>
          <w:noProof/>
        </w:rPr>
        <w:fldChar w:fldCharType="end"/>
      </w:r>
      <w:bookmarkEnd w:id="1"/>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2" w:name="_Ref468985465"/>
      <w:r w:rsidRPr="0073662B">
        <w:t xml:space="preserve">Figure </w:t>
      </w:r>
      <w:r w:rsidR="00B95E3F">
        <w:fldChar w:fldCharType="begin"/>
      </w:r>
      <w:r w:rsidR="00B95E3F">
        <w:instrText xml:space="preserve"> SEQ Figure \* ARABIC </w:instrText>
      </w:r>
      <w:r w:rsidR="00B95E3F">
        <w:fldChar w:fldCharType="separate"/>
      </w:r>
      <w:r w:rsidR="0069002D">
        <w:rPr>
          <w:noProof/>
        </w:rPr>
        <w:t>2</w:t>
      </w:r>
      <w:r w:rsidR="00B95E3F">
        <w:rPr>
          <w:noProof/>
        </w:rPr>
        <w:fldChar w:fldCharType="end"/>
      </w:r>
      <w:bookmarkEnd w:id="2"/>
      <w:r w:rsidR="00E13757" w:rsidRPr="0073662B">
        <w:t xml:space="preserve"> - </w:t>
      </w:r>
      <w:r w:rsidR="00501E73" w:rsidRPr="0073662B">
        <w:t xml:space="preserve">Mapping of Alamouti pairs </w:t>
      </w:r>
      <w:r w:rsidRPr="0073662B">
        <w:t>to subcarriers for PAPR preserving SFBC in DFTsOFDM</w:t>
      </w:r>
    </w:p>
    <w:p w:rsidR="00BD3F81" w:rsidRPr="0073662B" w:rsidRDefault="00BD3F81" w:rsidP="001927A9"/>
    <w:p w:rsidR="00BD3F81" w:rsidRDefault="0041189B" w:rsidP="00BD3F81">
      <w:pPr>
        <w:pStyle w:val="Lgende"/>
        <w:keepNext/>
        <w:jc w:val="center"/>
      </w:pPr>
      <w:r w:rsidRPr="0073662B">
        <w:rPr>
          <w:noProof/>
          <w:lang w:val="fr-FR" w:eastAsia="fr-FR"/>
        </w:rPr>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41189B" w:rsidRDefault="00BD3F81" w:rsidP="00BD3F81">
      <w:pPr>
        <w:pStyle w:val="Lgende"/>
        <w:jc w:val="center"/>
      </w:pPr>
      <w:bookmarkStart w:id="3" w:name="_Ref494387326"/>
      <w:r>
        <w:t xml:space="preserve">Figure </w:t>
      </w:r>
      <w:r w:rsidR="00B95E3F">
        <w:fldChar w:fldCharType="begin"/>
      </w:r>
      <w:r w:rsidR="00B95E3F">
        <w:instrText xml:space="preserve"> SEQ Figure \* ARABIC </w:instrText>
      </w:r>
      <w:r w:rsidR="00B95E3F">
        <w:fldChar w:fldCharType="separate"/>
      </w:r>
      <w:r w:rsidR="0069002D">
        <w:rPr>
          <w:noProof/>
        </w:rPr>
        <w:t>3</w:t>
      </w:r>
      <w:r w:rsidR="00B95E3F">
        <w:rPr>
          <w:noProof/>
        </w:rPr>
        <w:fldChar w:fldCharType="end"/>
      </w:r>
      <w:bookmarkEnd w:id="3"/>
      <w:r w:rsidRPr="0073662B">
        <w:t xml:space="preserve">- PAPR of PAPR-preserving </w:t>
      </w:r>
      <w:r>
        <w:t>SC-</w:t>
      </w:r>
      <w:r w:rsidRPr="0073662B">
        <w:t>SFBC in DFTsOFDM</w:t>
      </w:r>
      <w:r>
        <w:t xml:space="preserve"> with QPSK</w:t>
      </w:r>
    </w:p>
    <w:p w:rsidR="00BD3F81" w:rsidRDefault="00DC1EC2" w:rsidP="000826B4">
      <w:pPr>
        <w:rPr>
          <w:i/>
        </w:rPr>
      </w:pPr>
      <w:r w:rsidRPr="0073662B">
        <w:rPr>
          <w:b/>
        </w:rPr>
        <w:t>Observation</w:t>
      </w:r>
      <w:r w:rsidRPr="0073662B">
        <w:t xml:space="preserve">: </w:t>
      </w:r>
      <w:r w:rsidR="00277E2E">
        <w:rPr>
          <w:i/>
        </w:rPr>
        <w:t>SC-SFBC has the following advantages:</w:t>
      </w:r>
    </w:p>
    <w:p w:rsidR="00BD3F81" w:rsidRPr="00BD3F81" w:rsidRDefault="00BD3F81" w:rsidP="00BD3F81">
      <w:pPr>
        <w:pStyle w:val="Paragraphedeliste"/>
        <w:numPr>
          <w:ilvl w:val="0"/>
          <w:numId w:val="43"/>
        </w:numPr>
        <w:ind w:leftChars="0"/>
      </w:pPr>
      <w:r w:rsidRPr="00BD3F81">
        <w:rPr>
          <w:i/>
        </w:rPr>
        <w:t>PAPR preserving for all constellation types</w:t>
      </w:r>
      <w:r w:rsidR="00A73861">
        <w:rPr>
          <w:i/>
        </w:rPr>
        <w:t xml:space="preserve">, </w:t>
      </w:r>
    </w:p>
    <w:p w:rsidR="00BD3F81" w:rsidRPr="00BD3F81" w:rsidRDefault="00DC1EC2" w:rsidP="00BD3F81">
      <w:pPr>
        <w:pStyle w:val="Paragraphedeliste"/>
        <w:numPr>
          <w:ilvl w:val="0"/>
          <w:numId w:val="43"/>
        </w:numPr>
        <w:ind w:leftChars="0"/>
      </w:pPr>
      <w:r w:rsidRPr="00BD3F81">
        <w:rPr>
          <w:i/>
        </w:rPr>
        <w:t xml:space="preserve">operating on single symbol DFTsOFDM, </w:t>
      </w:r>
    </w:p>
    <w:p w:rsidR="00BD3F81" w:rsidRPr="00BD3F81" w:rsidRDefault="00DC1EC2" w:rsidP="00BD3F81">
      <w:pPr>
        <w:pStyle w:val="Paragraphedeliste"/>
        <w:numPr>
          <w:ilvl w:val="0"/>
          <w:numId w:val="43"/>
        </w:numPr>
        <w:ind w:leftChars="0"/>
      </w:pPr>
      <w:r w:rsidRPr="00BD3F81">
        <w:rPr>
          <w:i/>
        </w:rPr>
        <w:t>full diversity achieving</w:t>
      </w:r>
      <w:r w:rsidR="00C319B4" w:rsidRPr="00BD3F81">
        <w:rPr>
          <w:i/>
        </w:rPr>
        <w:t>,</w:t>
      </w:r>
      <w:r w:rsidRPr="00BD3F81">
        <w:rPr>
          <w:i/>
        </w:rPr>
        <w:t xml:space="preserve"> </w:t>
      </w:r>
    </w:p>
    <w:p w:rsidR="00C80102" w:rsidRPr="00257034" w:rsidRDefault="00DC1EC2" w:rsidP="00BD3F81">
      <w:pPr>
        <w:pStyle w:val="Paragraphedeliste"/>
        <w:numPr>
          <w:ilvl w:val="0"/>
          <w:numId w:val="43"/>
        </w:numPr>
        <w:ind w:leftChars="0"/>
      </w:pPr>
      <w:r w:rsidRPr="00BD3F81">
        <w:rPr>
          <w:i/>
        </w:rPr>
        <w:t>with low-complexity frequency-domain decoding at subcarrier level.</w:t>
      </w:r>
    </w:p>
    <w:p w:rsidR="003B78F4" w:rsidRPr="00257034" w:rsidRDefault="003B78F4" w:rsidP="00257034"/>
    <w:p w:rsidR="000826B4" w:rsidRDefault="00A73861" w:rsidP="003B78F4">
      <w:pPr>
        <w:pStyle w:val="Titre2"/>
      </w:pPr>
      <w:r>
        <w:lastRenderedPageBreak/>
        <w:t>Other Alamouti-based schemes</w:t>
      </w:r>
    </w:p>
    <w:p w:rsidR="00A73861" w:rsidRDefault="00A73861" w:rsidP="00A73861">
      <w:r w:rsidRPr="0073662B">
        <w:t xml:space="preserve">Alamouti-based schemes </w:t>
      </w:r>
      <w:r>
        <w:t xml:space="preserve">such as classical STBC and SFBC </w:t>
      </w:r>
      <w:r w:rsidRPr="0073662B">
        <w:t xml:space="preserve">are full diversity and are easily combined with OFDM-based waveforms: when applied at subcarrier level (between subcarriers within the same (SFBC) or within different (STBC) DFTsOFDM symbols), low complexity MMSE detection can be employed on couples of subcarriers involved in Alamouti precoding. Classical STBC (among successive DFTsOFDM symbols) and classical SFBC (among consecutive subcarriers within a DFTsOFDM) display some drawbacks </w:t>
      </w:r>
    </w:p>
    <w:p w:rsidR="005315A5" w:rsidRDefault="005315A5" w:rsidP="00A73861">
      <w:r>
        <w:t xml:space="preserve">Classical SFBC is known to beak the PAPR of DFTsOFDM. As can be seen in </w:t>
      </w:r>
      <w:r>
        <w:fldChar w:fldCharType="begin"/>
      </w:r>
      <w:r>
        <w:instrText xml:space="preserve"> REF _Ref494387326 \h </w:instrText>
      </w:r>
      <w:r>
        <w:fldChar w:fldCharType="separate"/>
      </w:r>
      <w:r w:rsidR="0069002D">
        <w:t xml:space="preserve">Figure </w:t>
      </w:r>
      <w:r w:rsidR="0069002D">
        <w:rPr>
          <w:noProof/>
        </w:rPr>
        <w:t>3</w:t>
      </w:r>
      <w:r>
        <w:fldChar w:fldCharType="end"/>
      </w:r>
      <w:r>
        <w:t xml:space="preserve">, loss can be as high as 0.9dB for QPSK. Slightly lower loss is </w:t>
      </w:r>
      <w:r w:rsidR="00F12B7C">
        <w:t>observed for higher modulation orders.</w:t>
      </w:r>
    </w:p>
    <w:p w:rsidR="00A73861" w:rsidRDefault="00A73861" w:rsidP="00A73861">
      <w:r>
        <w:t xml:space="preserve">Classical STBC suffers from the orphan symbol problem: precoding in the time domain involves two DFTsOFDM symbols that need to cross the same channel. This renders STBC non-applicable in some scenarios such as sTTI with odd number of symbols, or in combination with frequency hopping having odd number of OFDM symbols per hop. Moreover, there STBC suffers from robustness loss at high speed (partly mitigated through MMSE detection), which is particularly sensitive in V2X scenarios. </w:t>
      </w:r>
    </w:p>
    <w:p w:rsidR="00F7681E" w:rsidRPr="0073662B" w:rsidRDefault="00F12B7C" w:rsidP="000826B4">
      <w:r>
        <w:t xml:space="preserve">Modified STBC scheme allows processing within a single DFTsOFDM symbol. </w:t>
      </w:r>
      <w:r w:rsidR="00217FBC" w:rsidRPr="0073662B">
        <w:t xml:space="preserve">Split-symbol STBC </w:t>
      </w:r>
      <w:r w:rsidR="002134B6">
        <w:fldChar w:fldCharType="begin"/>
      </w:r>
      <w:r w:rsidR="002134B6">
        <w:instrText xml:space="preserve"> REF _Ref492574046 \r \h </w:instrText>
      </w:r>
      <w:r w:rsidR="002134B6">
        <w:fldChar w:fldCharType="separate"/>
      </w:r>
      <w:r w:rsidR="0069002D">
        <w:t>[11]</w:t>
      </w:r>
      <w:r w:rsidR="002134B6">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pt;height:15.75pt" o:ole="">
            <v:imagedata r:id="rId23" o:title=""/>
          </v:shape>
          <o:OLEObject Type="Embed" ProgID="Equation.DSMT4" ShapeID="_x0000_i1031" DrawAspect="Content" ObjectID="_1580138621" r:id="rId24"/>
        </w:object>
      </w:r>
      <w:r w:rsidR="00C319B4" w:rsidRPr="0073662B">
        <w:t xml:space="preserve"> and </w:t>
      </w:r>
      <w:r w:rsidR="00C319B4" w:rsidRPr="0073662B">
        <w:rPr>
          <w:position w:val="-10"/>
        </w:rPr>
        <w:object w:dxaOrig="2079" w:dyaOrig="320">
          <v:shape id="_x0000_i1032" type="#_x0000_t75" style="width:105pt;height:15.75pt" o:ole="">
            <v:imagedata r:id="rId25" o:title=""/>
          </v:shape>
          <o:OLEObject Type="Embed" ProgID="Equation.DSMT4" ShapeID="_x0000_i1032" DrawAspect="Content" ObjectID="_1580138622" r:id="rId26"/>
        </w:object>
      </w:r>
      <w:r w:rsidR="00F7681E" w:rsidRPr="0073662B">
        <w:t xml:space="preserve">. </w:t>
      </w:r>
      <w:r>
        <w:t xml:space="preserve">Pre-DFT precoding leads to increased complexity, since 2 DFT operations need to be performed for each DFTsOFDM symbol at the transmitter side.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w:t>
      </w:r>
      <w:r w:rsidR="00A47F71">
        <w:t xml:space="preserve"> or zero padding</w:t>
      </w:r>
      <w:r w:rsidR="00063687" w:rsidRPr="0073662B">
        <w:t xml:space="preserve">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r w:rsidR="00CD7218">
        <w:t xml:space="preserve">Further complexity and performance comparison has been conducted in </w:t>
      </w:r>
      <w:r w:rsidR="00CD7218">
        <w:fldChar w:fldCharType="begin"/>
      </w:r>
      <w:r w:rsidR="00CD7218">
        <w:instrText xml:space="preserve"> REF _Ref494384543 \r \h </w:instrText>
      </w:r>
      <w:r w:rsidR="00CD7218">
        <w:fldChar w:fldCharType="separate"/>
      </w:r>
      <w:r w:rsidR="00CD7218">
        <w:t>[4]</w:t>
      </w:r>
      <w:r w:rsidR="00CD7218">
        <w:fldChar w:fldCharType="end"/>
      </w:r>
      <w:r w:rsidR="00CD7218">
        <w:t xml:space="preserve"> and is summarized in </w:t>
      </w:r>
      <w:r w:rsidR="00CD7218">
        <w:fldChar w:fldCharType="begin"/>
      </w:r>
      <w:r w:rsidR="00CD7218">
        <w:instrText xml:space="preserve"> REF _Ref492586162 \h </w:instrText>
      </w:r>
      <w:r w:rsidR="00CD7218">
        <w:fldChar w:fldCharType="separate"/>
      </w:r>
      <w:r w:rsidR="00CD7218">
        <w:t xml:space="preserve">Table </w:t>
      </w:r>
      <w:r w:rsidR="00CD7218">
        <w:rPr>
          <w:noProof/>
        </w:rPr>
        <w:t>1</w:t>
      </w:r>
      <w:r w:rsidR="00CD7218">
        <w:fldChar w:fldCharType="end"/>
      </w:r>
      <w:r w:rsidR="00CD7218">
        <w:t xml:space="preserve"> .Taking into account the previous analysis, SC-SFBC is preferred over other Alamouti-based schemes. </w:t>
      </w:r>
    </w:p>
    <w:p w:rsidR="00CD7218" w:rsidRDefault="00CD7218" w:rsidP="00CD7218">
      <w:pPr>
        <w:pStyle w:val="Lgende"/>
        <w:keepNext/>
      </w:pPr>
      <w:bookmarkStart w:id="4" w:name="_Ref492586162"/>
      <w:r>
        <w:t xml:space="preserve">Table </w:t>
      </w:r>
      <w:r>
        <w:fldChar w:fldCharType="begin"/>
      </w:r>
      <w:r>
        <w:instrText xml:space="preserve"> SEQ Table \* ARABIC </w:instrText>
      </w:r>
      <w:r>
        <w:fldChar w:fldCharType="separate"/>
      </w:r>
      <w:r>
        <w:rPr>
          <w:noProof/>
        </w:rPr>
        <w:t>1</w:t>
      </w:r>
      <w:r>
        <w:rPr>
          <w:noProof/>
        </w:rPr>
        <w:fldChar w:fldCharType="end"/>
      </w:r>
      <w:bookmarkEnd w:id="4"/>
      <w:r>
        <w:t>- Characteristics of Alamouti-based implementations with respect to classical SFBC</w:t>
      </w:r>
    </w:p>
    <w:tbl>
      <w:tblPr>
        <w:tblStyle w:val="Grilledutableau"/>
        <w:tblW w:w="0" w:type="auto"/>
        <w:tblLook w:val="04A0" w:firstRow="1" w:lastRow="0" w:firstColumn="1" w:lastColumn="0" w:noHBand="0" w:noVBand="1"/>
      </w:tblPr>
      <w:tblGrid>
        <w:gridCol w:w="1336"/>
        <w:gridCol w:w="1920"/>
        <w:gridCol w:w="1984"/>
        <w:gridCol w:w="1985"/>
        <w:gridCol w:w="2737"/>
      </w:tblGrid>
      <w:tr w:rsidR="00CD7218" w:rsidTr="00CD7218">
        <w:tc>
          <w:tcPr>
            <w:tcW w:w="1336" w:type="dxa"/>
            <w:shd w:val="clear" w:color="auto" w:fill="D9D9D9" w:themeFill="background1" w:themeFillShade="D9"/>
          </w:tcPr>
          <w:p w:rsidR="00CD7218" w:rsidRDefault="00CD7218" w:rsidP="00A37139"/>
        </w:tc>
        <w:tc>
          <w:tcPr>
            <w:tcW w:w="1920" w:type="dxa"/>
            <w:shd w:val="clear" w:color="auto" w:fill="D9D9D9" w:themeFill="background1" w:themeFillShade="D9"/>
          </w:tcPr>
          <w:p w:rsidR="00CD7218" w:rsidRDefault="00CD7218" w:rsidP="00CD7218">
            <w:r w:rsidRPr="00CD7218">
              <w:rPr>
                <w:lang w:val="fr-FR"/>
              </w:rPr>
              <w:t xml:space="preserve">SC-SFBC </w:t>
            </w:r>
            <w:r>
              <w:fldChar w:fldCharType="begin"/>
            </w:r>
            <w:r>
              <w:rPr>
                <w:lang w:val="fr-FR"/>
              </w:rPr>
              <w:instrText xml:space="preserve"> REF _Ref492582194 \r \h </w:instrText>
            </w:r>
            <w:r>
              <w:instrText xml:space="preserve"> \* MERGEFORMAT </w:instrText>
            </w:r>
            <w:r>
              <w:fldChar w:fldCharType="separate"/>
            </w:r>
            <w:r>
              <w:rPr>
                <w:lang w:val="fr-FR"/>
              </w:rPr>
              <w:t>[10]</w:t>
            </w:r>
            <w:r>
              <w:fldChar w:fldCharType="end"/>
            </w:r>
          </w:p>
        </w:tc>
        <w:tc>
          <w:tcPr>
            <w:tcW w:w="1984" w:type="dxa"/>
            <w:shd w:val="clear" w:color="auto" w:fill="D9D9D9" w:themeFill="background1" w:themeFillShade="D9"/>
          </w:tcPr>
          <w:p w:rsidR="00CD7218" w:rsidRPr="00CD7218" w:rsidRDefault="00CD7218" w:rsidP="00CD7218">
            <w:r w:rsidRPr="00CD7218">
              <w:t xml:space="preserve">SS-STBC </w:t>
            </w:r>
            <w:r>
              <w:fldChar w:fldCharType="begin"/>
            </w:r>
            <w:r w:rsidRPr="00CD7218">
              <w:instrText xml:space="preserve"> REF _Ref506393555 \r \h </w:instrText>
            </w:r>
            <w:r>
              <w:instrText xml:space="preserve"> \* MERGEFORMAT </w:instrText>
            </w:r>
            <w:r>
              <w:fldChar w:fldCharType="separate"/>
            </w:r>
            <w:r w:rsidRPr="00CD7218">
              <w:t>[7]</w:t>
            </w:r>
            <w:r>
              <w:fldChar w:fldCharType="end"/>
            </w:r>
            <w:r>
              <w:t xml:space="preserve"> </w:t>
            </w:r>
            <w:r w:rsidRPr="00CD7218">
              <w:t>with receiver option 1</w:t>
            </w:r>
          </w:p>
        </w:tc>
        <w:tc>
          <w:tcPr>
            <w:tcW w:w="1985" w:type="dxa"/>
            <w:shd w:val="clear" w:color="auto" w:fill="D9D9D9" w:themeFill="background1" w:themeFillShade="D9"/>
          </w:tcPr>
          <w:p w:rsidR="00CD7218" w:rsidRPr="00CD7218" w:rsidRDefault="00CD7218" w:rsidP="00CD7218">
            <w:r w:rsidRPr="00CD7218">
              <w:t xml:space="preserve">SS-STBC </w:t>
            </w:r>
            <w:r>
              <w:fldChar w:fldCharType="begin"/>
            </w:r>
            <w:r w:rsidRPr="00CD7218">
              <w:instrText xml:space="preserve"> REF _Ref506393555 \r \h </w:instrText>
            </w:r>
            <w:r>
              <w:instrText xml:space="preserve"> \* MERGEFORMAT </w:instrText>
            </w:r>
            <w:r>
              <w:fldChar w:fldCharType="separate"/>
            </w:r>
            <w:r w:rsidRPr="00CD7218">
              <w:t>[7]</w:t>
            </w:r>
            <w:r>
              <w:fldChar w:fldCharType="end"/>
            </w:r>
            <w:r>
              <w:t xml:space="preserve"> </w:t>
            </w:r>
            <w:r w:rsidRPr="00CD7218">
              <w:t>with receiver option 2</w:t>
            </w:r>
          </w:p>
        </w:tc>
        <w:tc>
          <w:tcPr>
            <w:tcW w:w="2737" w:type="dxa"/>
            <w:shd w:val="clear" w:color="auto" w:fill="D9D9D9" w:themeFill="background1" w:themeFillShade="D9"/>
          </w:tcPr>
          <w:p w:rsidR="00CD7218" w:rsidRDefault="00CD7218" w:rsidP="00CD7218">
            <w:r>
              <w:t xml:space="preserve">SS-STBC with pre/postfix </w:t>
            </w:r>
            <w:r>
              <w:fldChar w:fldCharType="begin"/>
            </w:r>
            <w:r>
              <w:instrText xml:space="preserve"> REF _Ref492582210 \r \h </w:instrText>
            </w:r>
            <w:r>
              <w:fldChar w:fldCharType="separate"/>
            </w:r>
            <w:r>
              <w:t>[11]</w:t>
            </w:r>
            <w:r>
              <w:fldChar w:fldCharType="end"/>
            </w:r>
            <w:r>
              <w:t xml:space="preserve"> or 0 padding </w:t>
            </w:r>
          </w:p>
        </w:tc>
      </w:tr>
      <w:tr w:rsidR="00CD7218" w:rsidTr="00CD7218">
        <w:tc>
          <w:tcPr>
            <w:tcW w:w="1336" w:type="dxa"/>
            <w:shd w:val="clear" w:color="auto" w:fill="D9D9D9" w:themeFill="background1" w:themeFillShade="D9"/>
          </w:tcPr>
          <w:p w:rsidR="00CD7218" w:rsidRDefault="00CD7218" w:rsidP="00CD7218">
            <w:r>
              <w:t>PAPR</w:t>
            </w:r>
          </w:p>
        </w:tc>
        <w:tc>
          <w:tcPr>
            <w:tcW w:w="1920" w:type="dxa"/>
            <w:shd w:val="clear" w:color="auto" w:fill="92D050"/>
          </w:tcPr>
          <w:p w:rsidR="00CD7218" w:rsidRDefault="00CD7218" w:rsidP="00CD7218">
            <w:r>
              <w:t>PAPR preserving</w:t>
            </w:r>
          </w:p>
        </w:tc>
        <w:tc>
          <w:tcPr>
            <w:tcW w:w="1984" w:type="dxa"/>
            <w:shd w:val="clear" w:color="auto" w:fill="92D050"/>
          </w:tcPr>
          <w:p w:rsidR="00CD7218" w:rsidRDefault="00CD7218" w:rsidP="00CD7218">
            <w:r>
              <w:t>PAPR preserving</w:t>
            </w:r>
          </w:p>
        </w:tc>
        <w:tc>
          <w:tcPr>
            <w:tcW w:w="1985" w:type="dxa"/>
            <w:shd w:val="clear" w:color="auto" w:fill="92D050"/>
          </w:tcPr>
          <w:p w:rsidR="00CD7218" w:rsidRDefault="00CD7218" w:rsidP="00CD7218">
            <w:r>
              <w:t>PAPR preserving</w:t>
            </w:r>
          </w:p>
        </w:tc>
        <w:tc>
          <w:tcPr>
            <w:tcW w:w="2737" w:type="dxa"/>
            <w:shd w:val="clear" w:color="auto" w:fill="92D050"/>
          </w:tcPr>
          <w:p w:rsidR="00CD7218" w:rsidRDefault="00CD7218" w:rsidP="00CD7218">
            <w:r>
              <w:t>PAPR preserving</w:t>
            </w:r>
          </w:p>
        </w:tc>
      </w:tr>
      <w:tr w:rsidR="00CD7218" w:rsidTr="00CD7218">
        <w:tc>
          <w:tcPr>
            <w:tcW w:w="1336" w:type="dxa"/>
            <w:shd w:val="clear" w:color="auto" w:fill="D9D9D9" w:themeFill="background1" w:themeFillShade="D9"/>
          </w:tcPr>
          <w:p w:rsidR="00CD7218" w:rsidRDefault="00CD7218" w:rsidP="00CD7218">
            <w:r>
              <w:t>Transmitter complexity</w:t>
            </w:r>
          </w:p>
        </w:tc>
        <w:tc>
          <w:tcPr>
            <w:tcW w:w="1920" w:type="dxa"/>
            <w:shd w:val="clear" w:color="auto" w:fill="92D050"/>
          </w:tcPr>
          <w:p w:rsidR="00CD7218" w:rsidRDefault="00CD7218" w:rsidP="00CD7218">
            <w:r>
              <w:t>Same as SFBC, only mapping to subcarrier differs</w:t>
            </w:r>
          </w:p>
        </w:tc>
        <w:tc>
          <w:tcPr>
            <w:tcW w:w="1984" w:type="dxa"/>
            <w:shd w:val="clear" w:color="auto" w:fill="FF0000"/>
          </w:tcPr>
          <w:p w:rsidR="00CD7218" w:rsidRDefault="00CD7218" w:rsidP="00CD7218">
            <w:r>
              <w:t xml:space="preserve">One extra M-size DFT </w:t>
            </w:r>
          </w:p>
        </w:tc>
        <w:tc>
          <w:tcPr>
            <w:tcW w:w="1985" w:type="dxa"/>
            <w:shd w:val="clear" w:color="auto" w:fill="FF0000"/>
          </w:tcPr>
          <w:p w:rsidR="00CD7218" w:rsidRDefault="00CD7218" w:rsidP="00CD7218">
            <w:r>
              <w:t>One extra M-size DFT</w:t>
            </w:r>
          </w:p>
        </w:tc>
        <w:tc>
          <w:tcPr>
            <w:tcW w:w="2737" w:type="dxa"/>
            <w:shd w:val="clear" w:color="auto" w:fill="FF0000"/>
          </w:tcPr>
          <w:p w:rsidR="00CD7218" w:rsidRDefault="00CD7218" w:rsidP="00CD7218">
            <w:r>
              <w:t>One extra M-size DFT</w:t>
            </w:r>
          </w:p>
        </w:tc>
      </w:tr>
      <w:tr w:rsidR="00CD7218" w:rsidTr="00CD7218">
        <w:tc>
          <w:tcPr>
            <w:tcW w:w="1336" w:type="dxa"/>
            <w:shd w:val="clear" w:color="auto" w:fill="D9D9D9" w:themeFill="background1" w:themeFillShade="D9"/>
          </w:tcPr>
          <w:p w:rsidR="00CD7218" w:rsidRDefault="00CD7218" w:rsidP="00CD7218">
            <w:r>
              <w:t>Spectral efficiency penalty</w:t>
            </w:r>
          </w:p>
        </w:tc>
        <w:tc>
          <w:tcPr>
            <w:tcW w:w="1920" w:type="dxa"/>
            <w:shd w:val="clear" w:color="auto" w:fill="92D050"/>
          </w:tcPr>
          <w:p w:rsidR="00CD7218" w:rsidRDefault="00CD7218" w:rsidP="00CD7218">
            <w:r>
              <w:t>No</w:t>
            </w:r>
          </w:p>
        </w:tc>
        <w:tc>
          <w:tcPr>
            <w:tcW w:w="1984" w:type="dxa"/>
            <w:shd w:val="clear" w:color="auto" w:fill="92D050"/>
          </w:tcPr>
          <w:p w:rsidR="00CD7218" w:rsidRDefault="00CD7218" w:rsidP="00CD7218">
            <w:r>
              <w:t>No</w:t>
            </w:r>
          </w:p>
        </w:tc>
        <w:tc>
          <w:tcPr>
            <w:tcW w:w="1985" w:type="dxa"/>
            <w:shd w:val="clear" w:color="auto" w:fill="92D050"/>
          </w:tcPr>
          <w:p w:rsidR="00CD7218" w:rsidRDefault="00CD7218" w:rsidP="00CD7218">
            <w:r>
              <w:t>No</w:t>
            </w:r>
          </w:p>
        </w:tc>
        <w:tc>
          <w:tcPr>
            <w:tcW w:w="2737" w:type="dxa"/>
            <w:shd w:val="clear" w:color="auto" w:fill="FF0000"/>
          </w:tcPr>
          <w:p w:rsidR="00CD7218" w:rsidRDefault="00CD7218" w:rsidP="00CD7218">
            <w:r>
              <w:t>Penalty depending on padding/prefix size and RA size</w:t>
            </w:r>
          </w:p>
        </w:tc>
      </w:tr>
      <w:tr w:rsidR="00CD7218" w:rsidTr="00CD7218">
        <w:tc>
          <w:tcPr>
            <w:tcW w:w="1336" w:type="dxa"/>
            <w:shd w:val="clear" w:color="auto" w:fill="D9D9D9" w:themeFill="background1" w:themeFillShade="D9"/>
          </w:tcPr>
          <w:p w:rsidR="00CD7218" w:rsidRDefault="00CD7218" w:rsidP="00CD7218">
            <w:r>
              <w:t>Receiver complexity</w:t>
            </w:r>
          </w:p>
        </w:tc>
        <w:tc>
          <w:tcPr>
            <w:tcW w:w="1920" w:type="dxa"/>
            <w:shd w:val="clear" w:color="auto" w:fill="FFC000"/>
          </w:tcPr>
          <w:p w:rsidR="00CD7218" w:rsidRDefault="00CD7218" w:rsidP="00CD7218">
            <w:r>
              <w:t xml:space="preserve">Low complexity inversion of 2x2 matrix for MMSE </w:t>
            </w:r>
          </w:p>
        </w:tc>
        <w:tc>
          <w:tcPr>
            <w:tcW w:w="1984" w:type="dxa"/>
            <w:shd w:val="clear" w:color="auto" w:fill="FF0000"/>
          </w:tcPr>
          <w:p w:rsidR="00CD7218" w:rsidRDefault="00CD7218" w:rsidP="00CD7218">
            <w:r>
              <w:t xml:space="preserve">4 extra M/2-point DFTs; </w:t>
            </w:r>
          </w:p>
          <w:p w:rsidR="00CD7218" w:rsidRDefault="00CD7218" w:rsidP="00CD7218">
            <w:r>
              <w:t>MMSE is also needed for high Doppler and/or  dispersive channels</w:t>
            </w:r>
          </w:p>
        </w:tc>
        <w:tc>
          <w:tcPr>
            <w:tcW w:w="1985" w:type="dxa"/>
            <w:shd w:val="clear" w:color="auto" w:fill="FF0000"/>
          </w:tcPr>
          <w:p w:rsidR="00CD7218" w:rsidRDefault="00CD7218" w:rsidP="00CD7218">
            <w:r>
              <w:t>1 extra M-point DFT and channel scaling</w:t>
            </w:r>
          </w:p>
          <w:p w:rsidR="00CD7218" w:rsidRDefault="00CD7218" w:rsidP="00CD7218">
            <w:r>
              <w:t>MMSE is also needed for high Doppler and/or  dispersive channels</w:t>
            </w:r>
          </w:p>
        </w:tc>
        <w:tc>
          <w:tcPr>
            <w:tcW w:w="2737" w:type="dxa"/>
            <w:shd w:val="clear" w:color="auto" w:fill="FF0000"/>
          </w:tcPr>
          <w:p w:rsidR="00CD7218" w:rsidRDefault="00CD7218" w:rsidP="00CD7218">
            <w:r>
              <w:t xml:space="preserve">Same as SS-STBC </w:t>
            </w:r>
            <w:r>
              <w:fldChar w:fldCharType="begin"/>
            </w:r>
            <w:r>
              <w:instrText xml:space="preserve"> REF _Ref492582226 \r \h  \* MERGEFORMAT </w:instrText>
            </w:r>
            <w:r>
              <w:fldChar w:fldCharType="separate"/>
            </w:r>
            <w:r>
              <w:t>[11]</w:t>
            </w:r>
            <w:r>
              <w:fldChar w:fldCharType="end"/>
            </w:r>
            <w:r>
              <w:t xml:space="preserve"> with receiver option 1 or 2</w:t>
            </w:r>
          </w:p>
        </w:tc>
      </w:tr>
    </w:tbl>
    <w:p w:rsidR="003B78F4" w:rsidRPr="00F12B7C" w:rsidRDefault="003B78F4" w:rsidP="003C27D5">
      <w:pPr>
        <w:rPr>
          <w:i/>
        </w:rPr>
      </w:pPr>
    </w:p>
    <w:p w:rsidR="00A67965" w:rsidRPr="0073662B" w:rsidRDefault="00A67965" w:rsidP="003B78F4">
      <w:pPr>
        <w:pStyle w:val="Titre2"/>
      </w:pPr>
      <w:r w:rsidRPr="0073662B">
        <w:t>Short-delay</w:t>
      </w:r>
      <w:r w:rsidR="00BB4851">
        <w:t>/Long delay</w:t>
      </w:r>
      <w:r w:rsidRPr="0073662B">
        <w:t xml:space="preserve">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5" w:name="_Ref481576044"/>
      <w:r>
        <w:t xml:space="preserve">Figure </w:t>
      </w:r>
      <w:r w:rsidR="00B95E3F">
        <w:fldChar w:fldCharType="begin"/>
      </w:r>
      <w:r w:rsidR="00B95E3F">
        <w:instrText xml:space="preserve"> SEQ Figure \* ARABIC </w:instrText>
      </w:r>
      <w:r w:rsidR="00B95E3F">
        <w:fldChar w:fldCharType="separate"/>
      </w:r>
      <w:r w:rsidR="0069002D">
        <w:rPr>
          <w:noProof/>
        </w:rPr>
        <w:t>4</w:t>
      </w:r>
      <w:r w:rsidR="00B95E3F">
        <w:rPr>
          <w:noProof/>
        </w:rPr>
        <w:fldChar w:fldCharType="end"/>
      </w:r>
      <w:bookmarkEnd w:id="5"/>
      <w:r>
        <w:t xml:space="preserve"> – Short delay CDD</w:t>
      </w:r>
    </w:p>
    <w:p w:rsidR="00A67965"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69002D">
        <w:t xml:space="preserve">Figure </w:t>
      </w:r>
      <w:r w:rsidR="0069002D">
        <w:rPr>
          <w:noProof/>
        </w:rPr>
        <w:t>4</w:t>
      </w:r>
      <w:r w:rsidR="00D65C81">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r w:rsidR="00BB4851">
        <w:t xml:space="preserve"> With short delays (within the order of several samples), SD-CDD is equivalent to a SISO transmission onto an equivalent channel with more frequency diversity than the original one. As long as the delay is short enough, this scheme can be implemented in a transparent manner (the receiver does not need to have any knowledge about the existence or the amount of delay applied at the transmitter side).</w:t>
      </w:r>
    </w:p>
    <w:p w:rsidR="00BB4851" w:rsidRPr="0073662B" w:rsidRDefault="00BB4851" w:rsidP="00A67965">
      <w:r>
        <w:t>Long delay CDD can be implemented in a similar manner at the transmitter side, but with delays that are much longer (in the order of, for example, half of an OFDM symbol). There is an impact on the channel estimation at the receiver side.</w:t>
      </w:r>
    </w:p>
    <w:p w:rsidR="00710778" w:rsidRDefault="00541847" w:rsidP="003C27D5">
      <w:r w:rsidRPr="0073662B">
        <w:t xml:space="preserve">CDD is not a full-diversity scheme: it transforms spatial diversity in frequency-diversity. It achieves enhanced frequency diversity via coding. CDD performance </w:t>
      </w:r>
      <w:r w:rsidR="00710778">
        <w:t xml:space="preserve">quickly degrades with relaxed coding rate and/or in scenarios where other sources of diversity are available, rendering the channel enhancement gain limited (e.g. high speed, very selective channels, frequency hopping). CDD has already been investigated for </w:t>
      </w:r>
      <w:r w:rsidR="00BB4851">
        <w:t xml:space="preserve">NR </w:t>
      </w:r>
      <w:r w:rsidR="00710778">
        <w:t xml:space="preserve">control channels in </w:t>
      </w:r>
      <w:r w:rsidR="00710778">
        <w:fldChar w:fldCharType="begin"/>
      </w:r>
      <w:r w:rsidR="00710778">
        <w:instrText xml:space="preserve"> REF _Ref494384545 \r \h </w:instrText>
      </w:r>
      <w:r w:rsidR="00710778">
        <w:fldChar w:fldCharType="separate"/>
      </w:r>
      <w:r w:rsidR="0069002D">
        <w:t>[5]</w:t>
      </w:r>
      <w:r w:rsidR="00710778">
        <w:fldChar w:fldCharType="end"/>
      </w:r>
      <w:r w:rsidR="00710778">
        <w:t>.</w:t>
      </w:r>
    </w:p>
    <w:p w:rsidR="00541847" w:rsidRPr="00710778" w:rsidRDefault="00A267DE" w:rsidP="003C27D5">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710778">
        <w:t xml:space="preserve"> </w:t>
      </w:r>
      <w:r w:rsidR="00710778" w:rsidRPr="00710778">
        <w:rPr>
          <w:i/>
        </w:rPr>
        <w:t>and/or at high speed</w:t>
      </w:r>
      <w:r w:rsidR="00710778">
        <w:rPr>
          <w:i/>
        </w:rPr>
        <w:t>.</w:t>
      </w:r>
    </w:p>
    <w:p w:rsidR="00683FC6" w:rsidRPr="0073662B" w:rsidRDefault="00683FC6" w:rsidP="00541847"/>
    <w:p w:rsidR="00D007C0" w:rsidRPr="0073662B" w:rsidRDefault="00503508" w:rsidP="00D007C0">
      <w:pPr>
        <w:pStyle w:val="Titre2"/>
      </w:pPr>
      <w:r>
        <w:t>Time domain precoder vector switching</w:t>
      </w:r>
      <w:r w:rsidR="00853799">
        <w:t xml:space="preserve"> for DFTsOFDM</w:t>
      </w:r>
    </w:p>
    <w:p w:rsidR="00C70D82" w:rsidRDefault="00853799" w:rsidP="00541847">
      <w:r>
        <w:t xml:space="preserve">Time domain cycling </w:t>
      </w:r>
      <w:r w:rsidR="00AC1F37">
        <w:t xml:space="preserve">within a slot </w:t>
      </w:r>
      <w:r>
        <w:t xml:space="preserve">can be implemented through antenna/precoder switching. </w:t>
      </w:r>
      <w:r w:rsidR="00D007C0">
        <w:t xml:space="preserve">Time domain </w:t>
      </w:r>
      <w:r w:rsidR="00503508">
        <w:t>PVS</w:t>
      </w:r>
      <w:r w:rsidR="00D007C0">
        <w:t xml:space="preserve"> </w:t>
      </w:r>
      <w:r w:rsidR="00AC1F37">
        <w:t xml:space="preserve">within a slot </w:t>
      </w:r>
      <w:r w:rsidR="00D007C0">
        <w:t xml:space="preserve">can be implemented in either transparent </w:t>
      </w:r>
      <w:r w:rsidR="00503508">
        <w:t xml:space="preserve">(data and DMRS are precoded with the same precoder) </w:t>
      </w:r>
      <w:r w:rsidR="00D007C0">
        <w:t>or non-transparent manner</w:t>
      </w:r>
      <w:r w:rsidR="00503508">
        <w:t xml:space="preserve"> (data and DMRS use different precoders), as in </w:t>
      </w:r>
      <w:r w:rsidR="00D65C81">
        <w:fldChar w:fldCharType="begin"/>
      </w:r>
      <w:r w:rsidR="00C70D82">
        <w:instrText xml:space="preserve"> REF _Ref481679428 \h </w:instrText>
      </w:r>
      <w:r w:rsidR="00D65C81">
        <w:fldChar w:fldCharType="separate"/>
      </w:r>
      <w:r w:rsidR="0069002D">
        <w:t xml:space="preserve">Figure </w:t>
      </w:r>
      <w:r w:rsidR="0069002D">
        <w:rPr>
          <w:noProof/>
        </w:rPr>
        <w:t>5</w:t>
      </w:r>
      <w:r w:rsidR="00D65C81">
        <w:fldChar w:fldCharType="end"/>
      </w:r>
      <w:r w:rsidR="00503508">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6" w:name="_Ref481679428"/>
      <w:r>
        <w:t xml:space="preserve">Figure </w:t>
      </w:r>
      <w:r w:rsidR="00B95E3F">
        <w:fldChar w:fldCharType="begin"/>
      </w:r>
      <w:r w:rsidR="00B95E3F">
        <w:instrText xml:space="preserve"> SEQ Figure \* ARABIC </w:instrText>
      </w:r>
      <w:r w:rsidR="00B95E3F">
        <w:fldChar w:fldCharType="separate"/>
      </w:r>
      <w:r w:rsidR="0069002D">
        <w:rPr>
          <w:noProof/>
        </w:rPr>
        <w:t>5</w:t>
      </w:r>
      <w:r w:rsidR="00B95E3F">
        <w:rPr>
          <w:noProof/>
        </w:rPr>
        <w:fldChar w:fldCharType="end"/>
      </w:r>
      <w:bookmarkEnd w:id="6"/>
      <w:r>
        <w:t xml:space="preserve"> – Time-domain beam/precoder cycling</w:t>
      </w:r>
      <w:r w:rsidR="00AC1F37">
        <w:t xml:space="preserve"> within a slot</w:t>
      </w:r>
    </w:p>
    <w:p w:rsidR="00874B95" w:rsidRPr="0073662B" w:rsidRDefault="00B62A70" w:rsidP="00503508">
      <w:r>
        <w:lastRenderedPageBreak/>
        <w:t xml:space="preserve">DM-RS transparent </w:t>
      </w:r>
      <w:r w:rsidR="00503508">
        <w:t>requires at least</w:t>
      </w:r>
      <w:r>
        <w:t xml:space="preserve"> </w:t>
      </w:r>
      <w:r w:rsidR="00503508">
        <w:t xml:space="preserve">one </w:t>
      </w:r>
      <w:r>
        <w:t xml:space="preserve">DM-RS </w:t>
      </w:r>
      <w:r w:rsidR="00503508">
        <w:t xml:space="preserve">to be </w:t>
      </w:r>
      <w:r>
        <w:t>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69002D">
        <w:t xml:space="preserve">Figure </w:t>
      </w:r>
      <w:r w:rsidR="0069002D">
        <w:rPr>
          <w:noProof/>
        </w:rPr>
        <w:t>5</w:t>
      </w:r>
      <w:r w:rsidR="00D65C81">
        <w:fldChar w:fldCharType="end"/>
      </w:r>
      <w:r w:rsidR="00250E84">
        <w:t>a</w:t>
      </w:r>
      <w:r>
        <w:t xml:space="preserve">. </w:t>
      </w:r>
      <w:r w:rsidR="00503508">
        <w:t xml:space="preserve">This is equivalent to frequency hopping </w:t>
      </w:r>
      <w:r w:rsidR="00C174C4">
        <w:t xml:space="preserve">and/or open loop transmit antenna selection (OL-TAS) </w:t>
      </w:r>
      <w:r w:rsidR="00503508">
        <w:t>within the slot</w:t>
      </w:r>
      <w:r>
        <w:t xml:space="preserve">. </w:t>
      </w:r>
      <w:r w:rsidR="00503508">
        <w:t>This scheme</w:t>
      </w:r>
      <w:r>
        <w:t xml:space="preserve">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5D6D69" w:rsidRDefault="005D6D69" w:rsidP="00541847">
      <w:r w:rsidRPr="005D6D69">
        <w:rPr>
          <w:b/>
        </w:rPr>
        <w:t>Observation</w:t>
      </w:r>
      <w:r>
        <w:t xml:space="preserve">: </w:t>
      </w:r>
      <w:r w:rsidRPr="005D6D69">
        <w:rPr>
          <w:i/>
        </w:rPr>
        <w:t xml:space="preserve">DM-RS-transparent </w:t>
      </w:r>
      <w:r w:rsidR="00C174C4">
        <w:rPr>
          <w:i/>
        </w:rPr>
        <w:t xml:space="preserve">PVS </w:t>
      </w:r>
      <w:r w:rsidR="00AC1F37">
        <w:rPr>
          <w:i/>
        </w:rPr>
        <w:t xml:space="preserve">within a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69002D">
        <w:t xml:space="preserve">Figure </w:t>
      </w:r>
      <w:r w:rsidR="0069002D">
        <w:rPr>
          <w:noProof/>
        </w:rPr>
        <w:t>5</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pPr>
        <w:rPr>
          <w:i/>
        </w:rPr>
      </w:pPr>
      <w:r w:rsidRPr="005258E8">
        <w:rPr>
          <w:b/>
        </w:rPr>
        <w:t>Observation</w:t>
      </w:r>
      <w:r>
        <w:t xml:space="preserve">: </w:t>
      </w:r>
      <w:r w:rsidR="00C174C4" w:rsidRPr="00C174C4">
        <w:rPr>
          <w:i/>
        </w:rPr>
        <w:t>DMRS n</w:t>
      </w:r>
      <w:r w:rsidRPr="005258E8">
        <w:rPr>
          <w:i/>
        </w:rPr>
        <w:t xml:space="preserve">on-transparent </w:t>
      </w:r>
      <w:r w:rsidR="00C174C4">
        <w:rPr>
          <w:i/>
        </w:rPr>
        <w:t>PVS</w:t>
      </w:r>
      <w:r w:rsidR="00AC1F37">
        <w:rPr>
          <w:i/>
        </w:rPr>
        <w:t xml:space="preserve"> within a slot</w:t>
      </w:r>
      <w:r w:rsidRPr="005258E8">
        <w:rPr>
          <w:i/>
        </w:rPr>
        <w:t xml:space="preserve">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C174C4" w:rsidRDefault="00C174C4" w:rsidP="00541847">
      <w:pPr>
        <w:rPr>
          <w:i/>
        </w:rPr>
      </w:pPr>
    </w:p>
    <w:p w:rsidR="00C174C4" w:rsidRDefault="00632318" w:rsidP="00541847">
      <w:r>
        <w:t>On the other hand, t</w:t>
      </w:r>
      <w:r>
        <w:t xml:space="preserve">ime domain cycling </w:t>
      </w:r>
      <w:r>
        <w:t>across</w:t>
      </w:r>
      <w:r>
        <w:t xml:space="preserve"> slot</w:t>
      </w:r>
      <w:r>
        <w:t>s</w:t>
      </w:r>
      <w:r>
        <w:t xml:space="preserve"> can be implemented through antenna/precoder switching</w:t>
      </w:r>
      <w:r w:rsidR="00FE7D8D">
        <w:t>, which is</w:t>
      </w:r>
      <w:r w:rsidR="00FE7D8D">
        <w:t xml:space="preserve"> useful in mitigating large scale fading and/or blocking effects</w:t>
      </w:r>
      <w:r w:rsidR="00FE7D8D">
        <w:t>. This technique can be successfully combined with intra-slot transmit diversity such as full diversity achieving Alamouti-based schemes.</w:t>
      </w:r>
    </w:p>
    <w:p w:rsidR="00FE7D8D" w:rsidRDefault="00FE7D8D" w:rsidP="00541847">
      <w:r w:rsidRPr="00FE7D8D">
        <w:rPr>
          <w:b/>
        </w:rPr>
        <w:t>Observation</w:t>
      </w:r>
      <w:r>
        <w:t xml:space="preserve">: </w:t>
      </w:r>
      <w:r w:rsidRPr="00FE7D8D">
        <w:rPr>
          <w:i/>
        </w:rPr>
        <w:t xml:space="preserve">PVS across slots </w:t>
      </w:r>
      <w:r w:rsidRPr="00FE7D8D">
        <w:rPr>
          <w:i/>
        </w:rPr>
        <w:t>is useful in mitigating large scale fading</w:t>
      </w:r>
      <w:r w:rsidRPr="00FE7D8D">
        <w:rPr>
          <w:i/>
        </w:rPr>
        <w:t xml:space="preserve"> and can be easily combined with intra-slot transmit diversity </w:t>
      </w:r>
      <w:r w:rsidRPr="00FE7D8D">
        <w:rPr>
          <w:i/>
        </w:rPr>
        <w:t xml:space="preserve">such as </w:t>
      </w:r>
      <w:r w:rsidRPr="00FE7D8D">
        <w:rPr>
          <w:i/>
        </w:rPr>
        <w:t xml:space="preserve">full </w:t>
      </w:r>
      <w:r w:rsidRPr="00FE7D8D">
        <w:rPr>
          <w:i/>
        </w:rPr>
        <w:t>diversity achieving Alamouti-based schemes.</w:t>
      </w: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66520C" w:rsidRDefault="0066520C" w:rsidP="0066520C">
      <w:pPr>
        <w:rPr>
          <w:i/>
        </w:rPr>
      </w:pPr>
      <w:r w:rsidRPr="0073662B">
        <w:rPr>
          <w:b/>
        </w:rPr>
        <w:t>Observation</w:t>
      </w:r>
      <w:r w:rsidRPr="0073662B">
        <w:t xml:space="preserve">: </w:t>
      </w:r>
      <w:r>
        <w:rPr>
          <w:i/>
        </w:rPr>
        <w:t>SC-SFBC has the following advantages:</w:t>
      </w:r>
    </w:p>
    <w:p w:rsidR="0066520C" w:rsidRPr="00BD3F81" w:rsidRDefault="0066520C" w:rsidP="0066520C">
      <w:pPr>
        <w:pStyle w:val="Paragraphedeliste"/>
        <w:numPr>
          <w:ilvl w:val="0"/>
          <w:numId w:val="43"/>
        </w:numPr>
        <w:ind w:leftChars="0"/>
      </w:pPr>
      <w:r w:rsidRPr="00BD3F81">
        <w:rPr>
          <w:i/>
        </w:rPr>
        <w:t>PAPR preserving for all constellation types</w:t>
      </w:r>
      <w:r>
        <w:rPr>
          <w:i/>
        </w:rPr>
        <w:t xml:space="preserve">, </w:t>
      </w:r>
    </w:p>
    <w:p w:rsidR="0066520C" w:rsidRPr="00BD3F81" w:rsidRDefault="0066520C" w:rsidP="0066520C">
      <w:pPr>
        <w:pStyle w:val="Paragraphedeliste"/>
        <w:numPr>
          <w:ilvl w:val="0"/>
          <w:numId w:val="43"/>
        </w:numPr>
        <w:ind w:leftChars="0"/>
      </w:pPr>
      <w:r w:rsidRPr="00BD3F81">
        <w:rPr>
          <w:i/>
        </w:rPr>
        <w:t xml:space="preserve">operating on single symbol DFTsOFDM, </w:t>
      </w:r>
    </w:p>
    <w:p w:rsidR="0066520C" w:rsidRPr="00BD3F81" w:rsidRDefault="0066520C" w:rsidP="0066520C">
      <w:pPr>
        <w:pStyle w:val="Paragraphedeliste"/>
        <w:numPr>
          <w:ilvl w:val="0"/>
          <w:numId w:val="43"/>
        </w:numPr>
        <w:ind w:leftChars="0"/>
      </w:pPr>
      <w:r w:rsidRPr="00BD3F81">
        <w:rPr>
          <w:i/>
        </w:rPr>
        <w:t xml:space="preserve">full diversity achieving, </w:t>
      </w:r>
    </w:p>
    <w:p w:rsidR="0066520C" w:rsidRPr="0066520C" w:rsidRDefault="0066520C" w:rsidP="0066520C">
      <w:pPr>
        <w:pStyle w:val="Paragraphedeliste"/>
        <w:numPr>
          <w:ilvl w:val="0"/>
          <w:numId w:val="43"/>
        </w:numPr>
        <w:ind w:leftChars="0"/>
      </w:pPr>
      <w:r w:rsidRPr="00BD3F81">
        <w:rPr>
          <w:i/>
        </w:rPr>
        <w:t>with low-complexity frequency-domain decoding at subcarrier level.</w:t>
      </w:r>
    </w:p>
    <w:p w:rsidR="0066520C" w:rsidRPr="00710778" w:rsidRDefault="0066520C" w:rsidP="0066520C">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Pr>
          <w:i/>
        </w:rPr>
        <w:t xml:space="preserve">increasing the </w:t>
      </w:r>
      <w:r w:rsidRPr="00A267DE">
        <w:rPr>
          <w:i/>
        </w:rPr>
        <w:t>coding rates</w:t>
      </w:r>
      <w:r>
        <w:t xml:space="preserve">. </w:t>
      </w:r>
      <w:r w:rsidRPr="002D60EA">
        <w:rPr>
          <w:i/>
        </w:rPr>
        <w:t>Gain is limited onto channels with already long delay spreads</w:t>
      </w:r>
      <w:r>
        <w:t xml:space="preserve"> </w:t>
      </w:r>
      <w:r w:rsidRPr="00710778">
        <w:rPr>
          <w:i/>
        </w:rPr>
        <w:t>and/or at high speed</w:t>
      </w:r>
      <w:r>
        <w:rPr>
          <w:i/>
        </w:rPr>
        <w:t>.</w:t>
      </w:r>
    </w:p>
    <w:p w:rsidR="0066520C" w:rsidRDefault="0066520C" w:rsidP="0066520C">
      <w:r w:rsidRPr="005D6D69">
        <w:rPr>
          <w:b/>
        </w:rPr>
        <w:t>Observation</w:t>
      </w:r>
      <w:r>
        <w:t xml:space="preserve">: </w:t>
      </w:r>
      <w:r w:rsidRPr="005D6D69">
        <w:rPr>
          <w:i/>
        </w:rPr>
        <w:t xml:space="preserve">DM-RS-transparent </w:t>
      </w:r>
      <w:r>
        <w:rPr>
          <w:i/>
        </w:rPr>
        <w:t>PVS is sensitive</w:t>
      </w:r>
      <w:r w:rsidRPr="005D6D69">
        <w:rPr>
          <w:i/>
        </w:rPr>
        <w:t xml:space="preserve"> </w:t>
      </w:r>
      <w:r>
        <w:rPr>
          <w:i/>
        </w:rPr>
        <w:t xml:space="preserve">to increased coding rates, sensitive </w:t>
      </w:r>
      <w:r w:rsidRPr="005D6D69">
        <w:rPr>
          <w:i/>
        </w:rPr>
        <w:t>at high speed</w:t>
      </w:r>
      <w:r>
        <w:rPr>
          <w:i/>
        </w:rPr>
        <w:t xml:space="preserve"> and has high DM-RS overhead at low/medium speed.</w:t>
      </w:r>
    </w:p>
    <w:p w:rsidR="0066520C" w:rsidRDefault="0066520C" w:rsidP="0066520C">
      <w:pPr>
        <w:rPr>
          <w:i/>
        </w:rPr>
      </w:pPr>
      <w:r w:rsidRPr="005258E8">
        <w:rPr>
          <w:b/>
        </w:rPr>
        <w:lastRenderedPageBreak/>
        <w:t>Observation</w:t>
      </w:r>
      <w:r>
        <w:t xml:space="preserve">: </w:t>
      </w:r>
      <w:r w:rsidRPr="00C174C4">
        <w:rPr>
          <w:i/>
        </w:rPr>
        <w:t>DMRS n</w:t>
      </w:r>
      <w:r w:rsidRPr="005258E8">
        <w:rPr>
          <w:i/>
        </w:rPr>
        <w:t xml:space="preserve">on-transparent </w:t>
      </w:r>
      <w:r>
        <w:rPr>
          <w:i/>
        </w:rPr>
        <w:t>PVS</w:t>
      </w:r>
      <w:r w:rsidRPr="005258E8">
        <w:rPr>
          <w:i/>
        </w:rPr>
        <w:t xml:space="preserve"> is not full-diversity achieving, is sensitive to </w:t>
      </w:r>
      <w:r>
        <w:rPr>
          <w:i/>
        </w:rPr>
        <w:t>increas</w:t>
      </w:r>
      <w:r w:rsidRPr="005258E8">
        <w:rPr>
          <w:i/>
        </w:rPr>
        <w:t xml:space="preserve">ed coding rates and it requires the same number of DM-RS resources and </w:t>
      </w:r>
      <w:r>
        <w:rPr>
          <w:i/>
        </w:rPr>
        <w:t xml:space="preserve">amount of </w:t>
      </w:r>
      <w:r w:rsidRPr="005258E8">
        <w:rPr>
          <w:i/>
        </w:rPr>
        <w:t>specification effort as Alamouti-based schemes</w:t>
      </w:r>
      <w:r>
        <w:rPr>
          <w:i/>
        </w:rPr>
        <w:t>.</w:t>
      </w:r>
    </w:p>
    <w:p w:rsidR="00FE7D8D" w:rsidRDefault="00FE7D8D" w:rsidP="00FE7D8D">
      <w:r w:rsidRPr="00FE7D8D">
        <w:rPr>
          <w:b/>
        </w:rPr>
        <w:t>Observation</w:t>
      </w:r>
      <w:r>
        <w:t xml:space="preserve">: </w:t>
      </w:r>
      <w:r w:rsidRPr="00FE7D8D">
        <w:rPr>
          <w:i/>
        </w:rPr>
        <w:t>PVS across slots is useful in mitigating large scale fading and can be easily combined with intra-slot transmit diversity such as full diversity achieving Alamouti-based schemes.</w:t>
      </w:r>
    </w:p>
    <w:p w:rsidR="0066520C" w:rsidRPr="00257034" w:rsidRDefault="0066520C" w:rsidP="0066520C">
      <w:bookmarkStart w:id="7" w:name="_GoBack"/>
      <w:bookmarkEnd w:id="7"/>
    </w:p>
    <w:p w:rsidR="00401D41" w:rsidRPr="0073662B" w:rsidRDefault="00401D41" w:rsidP="00401D41">
      <w:pPr>
        <w:rPr>
          <w:i/>
        </w:rPr>
      </w:pPr>
      <w:r w:rsidRPr="0073662B">
        <w:rPr>
          <w:b/>
        </w:rPr>
        <w:t>Proposal</w:t>
      </w:r>
      <w:r w:rsidRPr="0073662B">
        <w:t xml:space="preserve">: </w:t>
      </w:r>
      <w:r w:rsidR="0066520C" w:rsidRPr="0066520C">
        <w:rPr>
          <w:i/>
        </w:rPr>
        <w:t xml:space="preserve">Support </w:t>
      </w:r>
      <w:r w:rsidRPr="00EA59E6">
        <w:rPr>
          <w:i/>
        </w:rPr>
        <w:t>SC-SFBC</w:t>
      </w:r>
      <w:r>
        <w:t xml:space="preserve"> </w:t>
      </w:r>
      <w:r w:rsidRPr="00E74B84">
        <w:rPr>
          <w:i/>
          <w:szCs w:val="20"/>
        </w:rPr>
        <w:t xml:space="preserve">Alamouti-based transmit diversity for </w:t>
      </w:r>
      <w:r w:rsidR="00466CAF">
        <w:rPr>
          <w:i/>
          <w:iCs/>
        </w:rPr>
        <w:t>PSSCH.</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8" w:name="_Ref473730707"/>
      <w:r w:rsidRPr="0073662B">
        <w:t xml:space="preserve">Figure </w:t>
      </w:r>
      <w:r w:rsidR="00B95E3F">
        <w:fldChar w:fldCharType="begin"/>
      </w:r>
      <w:r w:rsidR="00B95E3F">
        <w:instrText xml:space="preserve"> SEQ Figure \* ARABIC </w:instrText>
      </w:r>
      <w:r w:rsidR="00B95E3F">
        <w:fldChar w:fldCharType="separate"/>
      </w:r>
      <w:r w:rsidR="0069002D">
        <w:rPr>
          <w:noProof/>
        </w:rPr>
        <w:t>6</w:t>
      </w:r>
      <w:r w:rsidR="00B95E3F">
        <w:rPr>
          <w:noProof/>
        </w:rPr>
        <w:fldChar w:fldCharType="end"/>
      </w:r>
      <w:bookmarkEnd w:id="8"/>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9" w:name="_Ref473731266"/>
      <w:r w:rsidRPr="0073662B">
        <w:t xml:space="preserve">Figure </w:t>
      </w:r>
      <w:r w:rsidR="00B95E3F">
        <w:fldChar w:fldCharType="begin"/>
      </w:r>
      <w:r w:rsidR="00B95E3F">
        <w:instrText xml:space="preserve"> SEQ Figure \* ARABIC </w:instrText>
      </w:r>
      <w:r w:rsidR="00B95E3F">
        <w:fldChar w:fldCharType="separate"/>
      </w:r>
      <w:r w:rsidR="0069002D">
        <w:rPr>
          <w:noProof/>
        </w:rPr>
        <w:t>7</w:t>
      </w:r>
      <w:r w:rsidR="00B95E3F">
        <w:rPr>
          <w:noProof/>
        </w:rPr>
        <w:fldChar w:fldCharType="end"/>
      </w:r>
      <w:bookmarkEnd w:id="9"/>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4B3743" w:rsidRPr="0073662B" w:rsidRDefault="004B3743" w:rsidP="004B3743">
      <w:pPr>
        <w:pBdr>
          <w:bottom w:val="single" w:sz="12" w:space="1" w:color="auto"/>
        </w:pBdr>
      </w:pPr>
    </w:p>
    <w:p w:rsidR="0049738E" w:rsidRPr="002147D0" w:rsidRDefault="0049738E" w:rsidP="0049738E">
      <w:pPr>
        <w:pStyle w:val="Titre1"/>
      </w:pPr>
      <w:r w:rsidRPr="002147D0">
        <w:t>References</w:t>
      </w:r>
    </w:p>
    <w:p w:rsidR="00574224" w:rsidRDefault="00574224" w:rsidP="00257DF3">
      <w:pPr>
        <w:pStyle w:val="Titre3"/>
        <w:numPr>
          <w:ilvl w:val="0"/>
          <w:numId w:val="10"/>
        </w:numPr>
      </w:pPr>
      <w:bookmarkStart w:id="10" w:name="_Ref498549168"/>
      <w:bookmarkStart w:id="11" w:name="_Ref477366453"/>
      <w:bookmarkStart w:id="12" w:name="_Ref468982085"/>
      <w:bookmarkStart w:id="13" w:name="_Ref461457447"/>
      <w:bookmarkStart w:id="14" w:name="_Ref457744160"/>
      <w:bookmarkStart w:id="15" w:name="_Ref468983461"/>
      <w:bookmarkStart w:id="16" w:name="_Ref506373676"/>
      <w:r>
        <w:t>Chairman’s notes, RAN1 #91, Reno, NV, USA, November 2017.</w:t>
      </w:r>
      <w:bookmarkEnd w:id="16"/>
    </w:p>
    <w:p w:rsidR="00BB7983" w:rsidRDefault="00BB7983" w:rsidP="00257DF3">
      <w:pPr>
        <w:pStyle w:val="Titre3"/>
        <w:numPr>
          <w:ilvl w:val="0"/>
          <w:numId w:val="10"/>
        </w:numPr>
      </w:pPr>
      <w:bookmarkStart w:id="17" w:name="_Ref506373666"/>
      <w:r w:rsidRPr="0073662B">
        <w:t xml:space="preserve">Chairman’s notes, RAN1 </w:t>
      </w:r>
      <w:r>
        <w:t>#90b</w:t>
      </w:r>
      <w:r w:rsidRPr="0073662B">
        <w:t xml:space="preserve">, </w:t>
      </w:r>
      <w:r>
        <w:t>Prague, Czech Republic, October</w:t>
      </w:r>
      <w:r w:rsidRPr="0073662B">
        <w:t xml:space="preserve"> 2017.</w:t>
      </w:r>
      <w:bookmarkEnd w:id="10"/>
      <w:bookmarkEnd w:id="17"/>
    </w:p>
    <w:p w:rsidR="00D528CE" w:rsidRDefault="0049738E" w:rsidP="00D528CE">
      <w:pPr>
        <w:pStyle w:val="Titre3"/>
        <w:numPr>
          <w:ilvl w:val="0"/>
          <w:numId w:val="10"/>
        </w:numPr>
      </w:pPr>
      <w:bookmarkStart w:id="18" w:name="_Ref498549160"/>
      <w:r w:rsidRPr="0073662B">
        <w:t xml:space="preserve">Chairman’s notes, RAN1 </w:t>
      </w:r>
      <w:r w:rsidR="00145316">
        <w:t>#90</w:t>
      </w:r>
      <w:r w:rsidRPr="0073662B">
        <w:t xml:space="preserve">, </w:t>
      </w:r>
      <w:r w:rsidR="00145316">
        <w:t>Prague, Czech Republic, August</w:t>
      </w:r>
      <w:r w:rsidR="00217FBC" w:rsidRPr="0073662B">
        <w:t xml:space="preserve"> 201</w:t>
      </w:r>
      <w:r w:rsidRPr="0073662B">
        <w:t>7</w:t>
      </w:r>
      <w:r w:rsidR="00217FBC" w:rsidRPr="0073662B">
        <w:t>.</w:t>
      </w:r>
      <w:bookmarkStart w:id="19" w:name="_Ref477366465"/>
      <w:bookmarkStart w:id="20" w:name="_Ref481586870"/>
      <w:bookmarkEnd w:id="11"/>
      <w:bookmarkEnd w:id="18"/>
    </w:p>
    <w:p w:rsidR="00BF387B" w:rsidRDefault="00BF387B" w:rsidP="00BF387B">
      <w:pPr>
        <w:pStyle w:val="Titre3"/>
        <w:numPr>
          <w:ilvl w:val="0"/>
          <w:numId w:val="10"/>
        </w:numPr>
      </w:pPr>
      <w:bookmarkStart w:id="21" w:name="_Ref494382715"/>
      <w:bookmarkStart w:id="22"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22"/>
    </w:p>
    <w:p w:rsidR="00BF387B" w:rsidRDefault="00BF387B" w:rsidP="00BF387B">
      <w:pPr>
        <w:pStyle w:val="Titre3"/>
        <w:numPr>
          <w:ilvl w:val="0"/>
          <w:numId w:val="10"/>
        </w:numPr>
      </w:pPr>
      <w:bookmarkStart w:id="23" w:name="_Ref494384545"/>
      <w:r>
        <w:t xml:space="preserve">R1-1716237, </w:t>
      </w:r>
      <w:r w:rsidRPr="00BF387B">
        <w:t>Transmit diversity for DFTsOF</w:t>
      </w:r>
      <w:r>
        <w:t xml:space="preserve">DM-based PUCCH in long duration, </w:t>
      </w:r>
      <w:r w:rsidRPr="00BF387B">
        <w:t>Mitsubishi Electric RCE</w:t>
      </w:r>
      <w:r>
        <w:t>, RAN1 NR AH#03, Nagoya, September 2017.</w:t>
      </w:r>
      <w:bookmarkEnd w:id="23"/>
    </w:p>
    <w:p w:rsidR="00BF387B" w:rsidRDefault="00BF387B" w:rsidP="00BF387B">
      <w:pPr>
        <w:pStyle w:val="Titre3"/>
        <w:numPr>
          <w:ilvl w:val="0"/>
          <w:numId w:val="10"/>
        </w:numPr>
      </w:pPr>
      <w:bookmarkStart w:id="24" w:name="_Ref494384547"/>
      <w:r>
        <w:t xml:space="preserve">R1-1716177, </w:t>
      </w:r>
      <w:r w:rsidRPr="00BF387B">
        <w:t>On UL Diversity b</w:t>
      </w:r>
      <w:r>
        <w:t xml:space="preserve">ased Transmission Scheme for NR, </w:t>
      </w:r>
      <w:r w:rsidRPr="00BF387B">
        <w:t>AT&amp;T</w:t>
      </w:r>
      <w:r>
        <w:t>,</w:t>
      </w:r>
      <w:r w:rsidRPr="00BF387B">
        <w:t xml:space="preserve"> </w:t>
      </w:r>
      <w:r>
        <w:t>RAN1 NR AH#03, Nagoya, September 2017.</w:t>
      </w:r>
      <w:bookmarkEnd w:id="24"/>
    </w:p>
    <w:p w:rsidR="00A73861" w:rsidRDefault="00BF387B" w:rsidP="00BF387B">
      <w:pPr>
        <w:pStyle w:val="Titre3"/>
        <w:numPr>
          <w:ilvl w:val="0"/>
          <w:numId w:val="10"/>
        </w:numPr>
      </w:pPr>
      <w:bookmarkStart w:id="25" w:name="_Ref494384549"/>
      <w:bookmarkStart w:id="26" w:name="_Ref506393555"/>
      <w:r>
        <w:t xml:space="preserve">R1-1716390, </w:t>
      </w:r>
      <w:r w:rsidRPr="00BF387B">
        <w:t>On U</w:t>
      </w:r>
      <w:r>
        <w:t xml:space="preserve">L diversity transmission scheme, </w:t>
      </w:r>
      <w:r w:rsidRPr="00BF387B">
        <w:t>Qualcomm Incorporate</w:t>
      </w:r>
      <w:r>
        <w:t>d, RAN1 NR AH#03, Nagoya, September 2017</w:t>
      </w:r>
      <w:r w:rsidR="00A73861">
        <w:t>.</w:t>
      </w:r>
      <w:bookmarkEnd w:id="26"/>
    </w:p>
    <w:p w:rsidR="000E0029" w:rsidRPr="000E0029" w:rsidRDefault="000E0029" w:rsidP="000E0029">
      <w:pPr>
        <w:pStyle w:val="Titre3"/>
        <w:numPr>
          <w:ilvl w:val="0"/>
          <w:numId w:val="10"/>
        </w:numPr>
      </w:pPr>
      <w:bookmarkStart w:id="27" w:name="_Ref494386233"/>
      <w:r w:rsidRPr="000E0029">
        <w:t>R1-</w:t>
      </w:r>
      <w:r w:rsidR="003F487B">
        <w:t>1802251</w:t>
      </w:r>
      <w:r w:rsidR="00A73861" w:rsidRPr="000E0029">
        <w:t xml:space="preserve">, </w:t>
      </w:r>
      <w:r w:rsidR="00A73861" w:rsidRPr="000E0029">
        <w:rPr>
          <w:rFonts w:asciiTheme="majorHAnsi" w:hAnsiTheme="majorHAnsi" w:cstheme="majorHAnsi"/>
        </w:rPr>
        <w:t xml:space="preserve">Low PAPR SFBC evaluations for </w:t>
      </w:r>
      <w:r w:rsidRPr="000E0029">
        <w:rPr>
          <w:rFonts w:asciiTheme="majorHAnsi" w:hAnsiTheme="majorHAnsi" w:cstheme="majorHAnsi"/>
        </w:rPr>
        <w:t>PSSCH</w:t>
      </w:r>
      <w:r w:rsidR="00A73861" w:rsidRPr="000E0029">
        <w:rPr>
          <w:rFonts w:asciiTheme="majorHAnsi" w:hAnsiTheme="majorHAnsi" w:cstheme="majorHAnsi"/>
        </w:rPr>
        <w:t>, Mitsubishi Electric, RAN1#9</w:t>
      </w:r>
      <w:r w:rsidR="003F487B">
        <w:rPr>
          <w:rFonts w:asciiTheme="majorHAnsi" w:hAnsiTheme="majorHAnsi" w:cstheme="majorHAnsi"/>
        </w:rPr>
        <w:t>2</w:t>
      </w:r>
      <w:r w:rsidR="00A73861" w:rsidRPr="000E0029">
        <w:rPr>
          <w:rFonts w:asciiTheme="majorHAnsi" w:hAnsiTheme="majorHAnsi" w:cstheme="majorHAnsi"/>
        </w:rPr>
        <w:t xml:space="preserve">, </w:t>
      </w:r>
      <w:r w:rsidR="003F487B">
        <w:rPr>
          <w:rFonts w:asciiTheme="majorHAnsi" w:hAnsiTheme="majorHAnsi" w:cstheme="majorHAnsi"/>
        </w:rPr>
        <w:t>Athens, February 2018</w:t>
      </w:r>
      <w:r>
        <w:rPr>
          <w:rFonts w:asciiTheme="majorHAnsi" w:hAnsiTheme="majorHAnsi" w:cstheme="majorHAnsi"/>
        </w:rPr>
        <w:t>.</w:t>
      </w:r>
    </w:p>
    <w:p w:rsidR="000E0029" w:rsidRPr="000E0029" w:rsidRDefault="000E0029" w:rsidP="000E0029">
      <w:pPr>
        <w:pStyle w:val="Titre3"/>
        <w:numPr>
          <w:ilvl w:val="0"/>
          <w:numId w:val="10"/>
        </w:numPr>
      </w:pPr>
      <w:r w:rsidRPr="00DA2C74">
        <w:t>R1-1717757</w:t>
      </w:r>
      <w:r>
        <w:t xml:space="preserve">, </w:t>
      </w:r>
      <w:r>
        <w:rPr>
          <w:rFonts w:asciiTheme="majorHAnsi" w:hAnsiTheme="majorHAnsi" w:cstheme="majorHAnsi"/>
        </w:rPr>
        <w:t xml:space="preserve">Low PAPR SFBC for V2X transmit diversity, </w:t>
      </w:r>
      <w:r w:rsidRPr="000E0029">
        <w:rPr>
          <w:rFonts w:asciiTheme="majorHAnsi" w:hAnsiTheme="majorHAnsi" w:cstheme="majorHAnsi"/>
        </w:rPr>
        <w:t>Mitsubishi Electric, RAN1#90b, Prague, October 2017</w:t>
      </w:r>
      <w:r w:rsidR="00D528CE" w:rsidRPr="000E0029">
        <w:t>.</w:t>
      </w:r>
      <w:bookmarkEnd w:id="21"/>
      <w:bookmarkEnd w:id="25"/>
      <w:bookmarkEnd w:id="27"/>
    </w:p>
    <w:p w:rsidR="00DC1EC2" w:rsidRPr="0073662B" w:rsidRDefault="0049738E" w:rsidP="0049738E">
      <w:pPr>
        <w:pStyle w:val="Titre3"/>
        <w:numPr>
          <w:ilvl w:val="0"/>
          <w:numId w:val="10"/>
        </w:numPr>
      </w:pPr>
      <w:bookmarkStart w:id="28" w:name="_Ref492582194"/>
      <w:bookmarkStart w:id="29" w:name="_Ref468984773"/>
      <w:bookmarkEnd w:id="12"/>
      <w:bookmarkEnd w:id="13"/>
      <w:bookmarkEnd w:id="14"/>
      <w:bookmarkEnd w:id="15"/>
      <w:bookmarkEnd w:id="19"/>
      <w:bookmarkEnd w:id="20"/>
      <w:r w:rsidRPr="0073662B">
        <w:t>C. Ciochina, D. Castelain, D. Mottier and H. Sari, “A Space-Frequency Block Code for Single-Carrier FDMA,” Electronics Letters 44(11):690 - 691 February 2008</w:t>
      </w:r>
      <w:r w:rsidR="00DC1EC2" w:rsidRPr="0073662B">
        <w:t>.</w:t>
      </w:r>
      <w:bookmarkEnd w:id="28"/>
    </w:p>
    <w:p w:rsidR="00A47F71" w:rsidRDefault="00DC1EC2" w:rsidP="0049738E">
      <w:pPr>
        <w:pStyle w:val="Titre3"/>
        <w:numPr>
          <w:ilvl w:val="0"/>
          <w:numId w:val="10"/>
        </w:numPr>
      </w:pPr>
      <w:bookmarkStart w:id="30" w:name="_Ref492582210"/>
      <w:bookmarkStart w:id="31" w:name="_Ref477358745"/>
      <w:bookmarkStart w:id="32" w:name="_Ref492574046"/>
      <w:r w:rsidRPr="0073662B">
        <w:t>X. Luo, P. Gaal, W. Chen, X. Zhang</w:t>
      </w:r>
      <w:r w:rsidR="0049738E" w:rsidRPr="0073662B">
        <w:t>.</w:t>
      </w:r>
      <w:r w:rsidRPr="0073662B">
        <w:t xml:space="preserve"> And J. Montojo, “Transmit Diversity Scheme over Single SC-FDM Symbol for LTE-Advanced,” GLOBECOM 2009</w:t>
      </w:r>
      <w:r w:rsidR="00A47F71">
        <w:t>.</w:t>
      </w:r>
      <w:bookmarkEnd w:id="30"/>
    </w:p>
    <w:bookmarkEnd w:id="29"/>
    <w:bookmarkEnd w:id="31"/>
    <w:bookmarkEnd w:id="32"/>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E3F" w:rsidRDefault="00B95E3F" w:rsidP="00A81622">
      <w:r>
        <w:separator/>
      </w:r>
    </w:p>
  </w:endnote>
  <w:endnote w:type="continuationSeparator" w:id="0">
    <w:p w:rsidR="00B95E3F" w:rsidRDefault="00B95E3F" w:rsidP="00A81622">
      <w:r>
        <w:continuationSeparator/>
      </w:r>
    </w:p>
  </w:endnote>
  <w:endnote w:type="continuationNotice" w:id="1">
    <w:p w:rsidR="00B95E3F" w:rsidRDefault="00B95E3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E3F" w:rsidRDefault="00B95E3F" w:rsidP="00A81622">
      <w:r>
        <w:separator/>
      </w:r>
    </w:p>
  </w:footnote>
  <w:footnote w:type="continuationSeparator" w:id="0">
    <w:p w:rsidR="00B95E3F" w:rsidRDefault="00B95E3F" w:rsidP="00A81622">
      <w:r>
        <w:continuationSeparator/>
      </w:r>
    </w:p>
  </w:footnote>
  <w:footnote w:type="continuationNotice" w:id="1">
    <w:p w:rsidR="00B95E3F" w:rsidRDefault="00B95E3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1"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cs="Times New Roman" w:hint="default"/>
      </w:rPr>
    </w:lvl>
    <w:lvl w:ilvl="1" w:tplc="3530ED92">
      <w:numFmt w:val="bullet"/>
      <w:lvlText w:val="–"/>
      <w:lvlJc w:val="left"/>
      <w:pPr>
        <w:tabs>
          <w:tab w:val="num" w:pos="1080"/>
        </w:tabs>
        <w:ind w:left="1080" w:hanging="360"/>
      </w:pPr>
      <w:rPr>
        <w:rFonts w:ascii="Arial" w:hAnsi="Arial" w:cs="Times New Roman" w:hint="default"/>
      </w:rPr>
    </w:lvl>
    <w:lvl w:ilvl="2" w:tplc="BB3A501A">
      <w:start w:val="1"/>
      <w:numFmt w:val="bullet"/>
      <w:lvlText w:val="•"/>
      <w:lvlJc w:val="left"/>
      <w:pPr>
        <w:tabs>
          <w:tab w:val="num" w:pos="1800"/>
        </w:tabs>
        <w:ind w:left="1800" w:hanging="360"/>
      </w:pPr>
      <w:rPr>
        <w:rFonts w:ascii="Arial" w:hAnsi="Arial" w:cs="Times New Roman" w:hint="default"/>
      </w:rPr>
    </w:lvl>
    <w:lvl w:ilvl="3" w:tplc="59A68F38">
      <w:start w:val="1"/>
      <w:numFmt w:val="bullet"/>
      <w:lvlText w:val="•"/>
      <w:lvlJc w:val="left"/>
      <w:pPr>
        <w:tabs>
          <w:tab w:val="num" w:pos="2520"/>
        </w:tabs>
        <w:ind w:left="2520" w:hanging="360"/>
      </w:pPr>
      <w:rPr>
        <w:rFonts w:ascii="Arial" w:hAnsi="Arial" w:cs="Times New Roman" w:hint="default"/>
      </w:rPr>
    </w:lvl>
    <w:lvl w:ilvl="4" w:tplc="CD68B4FE">
      <w:start w:val="1"/>
      <w:numFmt w:val="bullet"/>
      <w:lvlText w:val="•"/>
      <w:lvlJc w:val="left"/>
      <w:pPr>
        <w:tabs>
          <w:tab w:val="num" w:pos="3240"/>
        </w:tabs>
        <w:ind w:left="3240" w:hanging="360"/>
      </w:pPr>
      <w:rPr>
        <w:rFonts w:ascii="Arial" w:hAnsi="Arial" w:cs="Times New Roman" w:hint="default"/>
      </w:rPr>
    </w:lvl>
    <w:lvl w:ilvl="5" w:tplc="09AC630E">
      <w:start w:val="1"/>
      <w:numFmt w:val="bullet"/>
      <w:lvlText w:val="•"/>
      <w:lvlJc w:val="left"/>
      <w:pPr>
        <w:tabs>
          <w:tab w:val="num" w:pos="3960"/>
        </w:tabs>
        <w:ind w:left="3960" w:hanging="360"/>
      </w:pPr>
      <w:rPr>
        <w:rFonts w:ascii="Arial" w:hAnsi="Arial" w:cs="Times New Roman" w:hint="default"/>
      </w:rPr>
    </w:lvl>
    <w:lvl w:ilvl="6" w:tplc="831AF21C">
      <w:start w:val="1"/>
      <w:numFmt w:val="bullet"/>
      <w:lvlText w:val="•"/>
      <w:lvlJc w:val="left"/>
      <w:pPr>
        <w:tabs>
          <w:tab w:val="num" w:pos="4680"/>
        </w:tabs>
        <w:ind w:left="4680" w:hanging="360"/>
      </w:pPr>
      <w:rPr>
        <w:rFonts w:ascii="Arial" w:hAnsi="Arial" w:cs="Times New Roman" w:hint="default"/>
      </w:rPr>
    </w:lvl>
    <w:lvl w:ilvl="7" w:tplc="9CE0ABFE">
      <w:start w:val="1"/>
      <w:numFmt w:val="bullet"/>
      <w:lvlText w:val="•"/>
      <w:lvlJc w:val="left"/>
      <w:pPr>
        <w:tabs>
          <w:tab w:val="num" w:pos="5400"/>
        </w:tabs>
        <w:ind w:left="5400" w:hanging="360"/>
      </w:pPr>
      <w:rPr>
        <w:rFonts w:ascii="Arial" w:hAnsi="Arial" w:cs="Times New Roman" w:hint="default"/>
      </w:rPr>
    </w:lvl>
    <w:lvl w:ilvl="8" w:tplc="AD5063F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0"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5"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2"/>
  </w:num>
  <w:num w:numId="3">
    <w:abstractNumId w:val="38"/>
  </w:num>
  <w:num w:numId="4">
    <w:abstractNumId w:val="14"/>
  </w:num>
  <w:num w:numId="5">
    <w:abstractNumId w:val="43"/>
  </w:num>
  <w:num w:numId="6">
    <w:abstractNumId w:val="5"/>
  </w:num>
  <w:num w:numId="7">
    <w:abstractNumId w:val="21"/>
  </w:num>
  <w:num w:numId="8">
    <w:abstractNumId w:val="28"/>
  </w:num>
  <w:num w:numId="9">
    <w:abstractNumId w:val="7"/>
  </w:num>
  <w:num w:numId="10">
    <w:abstractNumId w:val="11"/>
  </w:num>
  <w:num w:numId="11">
    <w:abstractNumId w:val="1"/>
  </w:num>
  <w:num w:numId="12">
    <w:abstractNumId w:val="44"/>
  </w:num>
  <w:num w:numId="13">
    <w:abstractNumId w:val="20"/>
  </w:num>
  <w:num w:numId="14">
    <w:abstractNumId w:val="31"/>
  </w:num>
  <w:num w:numId="15">
    <w:abstractNumId w:val="39"/>
  </w:num>
  <w:num w:numId="16">
    <w:abstractNumId w:val="9"/>
  </w:num>
  <w:num w:numId="17">
    <w:abstractNumId w:val="4"/>
  </w:num>
  <w:num w:numId="18">
    <w:abstractNumId w:val="3"/>
  </w:num>
  <w:num w:numId="19">
    <w:abstractNumId w:val="40"/>
  </w:num>
  <w:num w:numId="20">
    <w:abstractNumId w:val="12"/>
  </w:num>
  <w:num w:numId="21">
    <w:abstractNumId w:val="27"/>
  </w:num>
  <w:num w:numId="22">
    <w:abstractNumId w:val="6"/>
  </w:num>
  <w:num w:numId="23">
    <w:abstractNumId w:val="38"/>
  </w:num>
  <w:num w:numId="24">
    <w:abstractNumId w:val="30"/>
  </w:num>
  <w:num w:numId="25">
    <w:abstractNumId w:val="13"/>
  </w:num>
  <w:num w:numId="26">
    <w:abstractNumId w:val="17"/>
  </w:num>
  <w:num w:numId="27">
    <w:abstractNumId w:val="23"/>
  </w:num>
  <w:num w:numId="28">
    <w:abstractNumId w:val="37"/>
  </w:num>
  <w:num w:numId="29">
    <w:abstractNumId w:val="29"/>
  </w:num>
  <w:num w:numId="30">
    <w:abstractNumId w:val="34"/>
  </w:num>
  <w:num w:numId="31">
    <w:abstractNumId w:val="19"/>
  </w:num>
  <w:num w:numId="32">
    <w:abstractNumId w:val="24"/>
  </w:num>
  <w:num w:numId="33">
    <w:abstractNumId w:val="8"/>
  </w:num>
  <w:num w:numId="34">
    <w:abstractNumId w:val="26"/>
  </w:num>
  <w:num w:numId="35">
    <w:abstractNumId w:val="35"/>
  </w:num>
  <w:num w:numId="36">
    <w:abstractNumId w:val="42"/>
  </w:num>
  <w:num w:numId="37">
    <w:abstractNumId w:val="45"/>
  </w:num>
  <w:num w:numId="38">
    <w:abstractNumId w:val="41"/>
  </w:num>
  <w:num w:numId="39">
    <w:abstractNumId w:val="16"/>
  </w:num>
  <w:num w:numId="40">
    <w:abstractNumId w:val="18"/>
  </w:num>
  <w:num w:numId="41">
    <w:abstractNumId w:val="10"/>
  </w:num>
  <w:num w:numId="42">
    <w:abstractNumId w:val="33"/>
  </w:num>
  <w:num w:numId="43">
    <w:abstractNumId w:val="2"/>
  </w:num>
  <w:num w:numId="44">
    <w:abstractNumId w:val="22"/>
  </w:num>
  <w:num w:numId="45">
    <w:abstractNumId w:val="25"/>
  </w:num>
  <w:num w:numId="46">
    <w:abstractNumId w:val="15"/>
  </w:num>
  <w:num w:numId="47">
    <w:abstractNumId w:val="36"/>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AF0"/>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1B00"/>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7199"/>
    <w:rsid w:val="000D7509"/>
    <w:rsid w:val="000D7ABD"/>
    <w:rsid w:val="000E0029"/>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5C9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3207"/>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B78F4"/>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87B"/>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6CA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3743"/>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508"/>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5A5"/>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4224"/>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1"/>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318"/>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20C"/>
    <w:rsid w:val="006655F9"/>
    <w:rsid w:val="006656D9"/>
    <w:rsid w:val="00665762"/>
    <w:rsid w:val="006664AE"/>
    <w:rsid w:val="00666E12"/>
    <w:rsid w:val="006712DD"/>
    <w:rsid w:val="006720D9"/>
    <w:rsid w:val="006723BA"/>
    <w:rsid w:val="0067380B"/>
    <w:rsid w:val="00675C98"/>
    <w:rsid w:val="006761FD"/>
    <w:rsid w:val="006770CF"/>
    <w:rsid w:val="006806DE"/>
    <w:rsid w:val="00680F50"/>
    <w:rsid w:val="0068301A"/>
    <w:rsid w:val="006835AA"/>
    <w:rsid w:val="00683AF0"/>
    <w:rsid w:val="00683FC6"/>
    <w:rsid w:val="006847F9"/>
    <w:rsid w:val="00684A8D"/>
    <w:rsid w:val="00685C5C"/>
    <w:rsid w:val="0068607B"/>
    <w:rsid w:val="00686081"/>
    <w:rsid w:val="006860AE"/>
    <w:rsid w:val="006861E9"/>
    <w:rsid w:val="006865ED"/>
    <w:rsid w:val="0068673C"/>
    <w:rsid w:val="0069002D"/>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0778"/>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110"/>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67EBC"/>
    <w:rsid w:val="00A704DB"/>
    <w:rsid w:val="00A705A6"/>
    <w:rsid w:val="00A7066A"/>
    <w:rsid w:val="00A7118A"/>
    <w:rsid w:val="00A717E6"/>
    <w:rsid w:val="00A71EF5"/>
    <w:rsid w:val="00A72652"/>
    <w:rsid w:val="00A73861"/>
    <w:rsid w:val="00A7576F"/>
    <w:rsid w:val="00A7661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1F37"/>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5E3F"/>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851"/>
    <w:rsid w:val="00BB4C45"/>
    <w:rsid w:val="00BB4E02"/>
    <w:rsid w:val="00BB51DA"/>
    <w:rsid w:val="00BB53F8"/>
    <w:rsid w:val="00BB644F"/>
    <w:rsid w:val="00BB6DA1"/>
    <w:rsid w:val="00BB771A"/>
    <w:rsid w:val="00BB7983"/>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7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C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C7B"/>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AA5"/>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7218"/>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28CE"/>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0F7"/>
    <w:rsid w:val="00D7169C"/>
    <w:rsid w:val="00D71AA3"/>
    <w:rsid w:val="00D724C8"/>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2C74"/>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AF2"/>
    <w:rsid w:val="00F12B7C"/>
    <w:rsid w:val="00F12B7F"/>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E7D8D"/>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59807">
      <w:bodyDiv w:val="1"/>
      <w:marLeft w:val="0"/>
      <w:marRight w:val="0"/>
      <w:marTop w:val="0"/>
      <w:marBottom w:val="0"/>
      <w:divBdr>
        <w:top w:val="none" w:sz="0" w:space="0" w:color="auto"/>
        <w:left w:val="none" w:sz="0" w:space="0" w:color="auto"/>
        <w:bottom w:val="none" w:sz="0" w:space="0" w:color="auto"/>
        <w:right w:val="none" w:sz="0" w:space="0" w:color="auto"/>
      </w:divBdr>
      <w:divsChild>
        <w:div w:id="7803143">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7557640">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733A32-ED64-4CF7-929D-A5B06962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2853</Words>
  <Characters>15697</Characters>
  <Application>Microsoft Office Word</Application>
  <DocSecurity>0</DocSecurity>
  <Lines>130</Lines>
  <Paragraphs>37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10</cp:revision>
  <cp:lastPrinted>2016-08-10T06:06:00Z</cp:lastPrinted>
  <dcterms:created xsi:type="dcterms:W3CDTF">2018-02-14T11:10:00Z</dcterms:created>
  <dcterms:modified xsi:type="dcterms:W3CDTF">2018-02-14T17:25:00Z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